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039CA" w14:textId="66EB80AE" w:rsidR="00C62255" w:rsidRDefault="0096422C" w:rsidP="000B7B12">
      <w:pPr>
        <w:pStyle w:val="BodyText"/>
      </w:pPr>
      <w:r w:rsidRPr="0096422C">
        <w:t>On December 24, 2018, the California Supreme Court</w:t>
      </w:r>
      <w:r w:rsidR="00F1494E">
        <w:t xml:space="preserve">, </w:t>
      </w:r>
      <w:r w:rsidR="00F1494E" w:rsidRPr="004E3D90">
        <w:rPr>
          <w:i/>
          <w:iCs/>
        </w:rPr>
        <w:t xml:space="preserve">Sierra Club v. County of Fresno </w:t>
      </w:r>
      <w:r w:rsidR="00F1494E">
        <w:rPr>
          <w:i/>
          <w:iCs/>
        </w:rPr>
        <w:t>(</w:t>
      </w:r>
      <w:r w:rsidR="00F1494E" w:rsidRPr="004E3D90">
        <w:rPr>
          <w:i/>
          <w:iCs/>
        </w:rPr>
        <w:t xml:space="preserve">Friant Ranch, L.P.] </w:t>
      </w:r>
      <w:r w:rsidR="00F1494E">
        <w:rPr>
          <w:i/>
          <w:iCs/>
        </w:rPr>
        <w:t>(</w:t>
      </w:r>
      <w:r w:rsidR="00F1494E" w:rsidRPr="004E3D90">
        <w:rPr>
          <w:i/>
          <w:iCs/>
        </w:rPr>
        <w:t>2018</w:t>
      </w:r>
      <w:r w:rsidR="00F1494E">
        <w:rPr>
          <w:i/>
          <w:iCs/>
        </w:rPr>
        <w:t>)</w:t>
      </w:r>
      <w:r w:rsidR="00F1494E" w:rsidRPr="004E3D90">
        <w:rPr>
          <w:i/>
          <w:iCs/>
        </w:rPr>
        <w:t xml:space="preserve"> </w:t>
      </w:r>
      <w:proofErr w:type="gramStart"/>
      <w:r w:rsidR="00F1494E" w:rsidRPr="004E3D90">
        <w:rPr>
          <w:i/>
          <w:iCs/>
        </w:rPr>
        <w:t>6</w:t>
      </w:r>
      <w:proofErr w:type="gramEnd"/>
      <w:r w:rsidR="00F1494E" w:rsidRPr="004E3D90">
        <w:rPr>
          <w:i/>
          <w:iCs/>
        </w:rPr>
        <w:t xml:space="preserve"> Cal.5th 5</w:t>
      </w:r>
      <w:bookmarkStart w:id="0" w:name="_GoBack"/>
      <w:bookmarkEnd w:id="0"/>
      <w:r w:rsidR="00F1494E" w:rsidRPr="004E3D90">
        <w:rPr>
          <w:i/>
          <w:iCs/>
        </w:rPr>
        <w:t>02, Case No. S219783</w:t>
      </w:r>
      <w:r w:rsidR="00F1494E">
        <w:rPr>
          <w:i/>
          <w:iCs/>
        </w:rPr>
        <w:t xml:space="preserve"> (Friant Ranch</w:t>
      </w:r>
      <w:r w:rsidR="00F1494E">
        <w:t>), held</w:t>
      </w:r>
      <w:r>
        <w:t xml:space="preserve"> that simply identifying that a project exceeds </w:t>
      </w:r>
      <w:r w:rsidR="001F5DC8">
        <w:t>an</w:t>
      </w:r>
      <w:r>
        <w:t xml:space="preserve"> emissions threshold </w:t>
      </w:r>
      <w:r w:rsidR="000E2D97">
        <w:t xml:space="preserve">is not sufficient to identify </w:t>
      </w:r>
      <w:r>
        <w:t>a project’s significant effect on the environment</w:t>
      </w:r>
      <w:r w:rsidR="00582E40">
        <w:t xml:space="preserve"> relative to the health effects of project </w:t>
      </w:r>
      <w:r w:rsidR="00225473">
        <w:t>emissions</w:t>
      </w:r>
      <w:r>
        <w:t>.</w:t>
      </w:r>
      <w:r w:rsidR="004E3D90" w:rsidRPr="004E3D90">
        <w:t xml:space="preserve"> </w:t>
      </w:r>
      <w:r w:rsidR="004E3D90">
        <w:t>The Court found that</w:t>
      </w:r>
      <w:r w:rsidR="00195884">
        <w:t xml:space="preserve"> </w:t>
      </w:r>
      <w:r w:rsidR="004E3D90">
        <w:t>an EIR should m</w:t>
      </w:r>
      <w:r w:rsidR="004E3D90" w:rsidRPr="004E3D90">
        <w:t xml:space="preserve">ake a reasonable effort to substantively connect a project’s </w:t>
      </w:r>
      <w:r w:rsidR="00225473">
        <w:t>criteria pollutant emissions</w:t>
      </w:r>
      <w:r w:rsidR="004E3D90" w:rsidRPr="004E3D90">
        <w:t xml:space="preserve"> to likely health consequences</w:t>
      </w:r>
      <w:r w:rsidR="000024C0">
        <w:t>,</w:t>
      </w:r>
      <w:r w:rsidR="000B7B12">
        <w:t xml:space="preserve"> or explain why it is not</w:t>
      </w:r>
      <w:r w:rsidR="000E2D97">
        <w:t xml:space="preserve"> currently</w:t>
      </w:r>
      <w:r w:rsidR="000B7B12">
        <w:t xml:space="preserve"> feasible to provide such an analysis</w:t>
      </w:r>
      <w:r w:rsidR="004E3D90" w:rsidRPr="004E3D90">
        <w:t>.</w:t>
      </w:r>
      <w:r>
        <w:t xml:space="preserve"> In </w:t>
      </w:r>
      <w:r w:rsidR="004E3D90">
        <w:t>2019</w:t>
      </w:r>
      <w:r>
        <w:t xml:space="preserve">, </w:t>
      </w:r>
      <w:proofErr w:type="gramStart"/>
      <w:r>
        <w:t xml:space="preserve">there </w:t>
      </w:r>
      <w:r w:rsidR="004E3D90">
        <w:t>were</w:t>
      </w:r>
      <w:r>
        <w:t xml:space="preserve"> several </w:t>
      </w:r>
      <w:r w:rsidR="00EE74F4">
        <w:t>CEQA documents</w:t>
      </w:r>
      <w:r>
        <w:t xml:space="preserve"> that</w:t>
      </w:r>
      <w:proofErr w:type="gramEnd"/>
      <w:r>
        <w:t xml:space="preserve"> </w:t>
      </w:r>
      <w:r w:rsidR="004E3D90">
        <w:t xml:space="preserve">included </w:t>
      </w:r>
      <w:r w:rsidR="000E2D97">
        <w:t>health effects</w:t>
      </w:r>
      <w:r w:rsidR="004E3D90">
        <w:t xml:space="preserve"> modeling to provide</w:t>
      </w:r>
      <w:r>
        <w:t xml:space="preserve"> additional </w:t>
      </w:r>
      <w:r w:rsidR="0063608D">
        <w:t xml:space="preserve">analysis </w:t>
      </w:r>
      <w:r w:rsidR="00195884">
        <w:t xml:space="preserve">for projects </w:t>
      </w:r>
      <w:r w:rsidR="000E2D97">
        <w:t>with</w:t>
      </w:r>
      <w:r w:rsidR="004E3D90">
        <w:t xml:space="preserve"> criteria air pollutant emissions </w:t>
      </w:r>
      <w:r w:rsidR="000E2D97">
        <w:t>that exceed a</w:t>
      </w:r>
      <w:r>
        <w:t xml:space="preserve"> significance threshold.</w:t>
      </w:r>
      <w:r w:rsidR="004E3D90">
        <w:t xml:space="preserve"> </w:t>
      </w:r>
      <w:r w:rsidR="00F31EC4">
        <w:t>While</w:t>
      </w:r>
      <w:r w:rsidR="0062323F">
        <w:t xml:space="preserve"> </w:t>
      </w:r>
      <w:r w:rsidR="0063608D">
        <w:t xml:space="preserve">it is technically possible to conduct </w:t>
      </w:r>
      <w:r w:rsidR="003913BE">
        <w:t>this modeling</w:t>
      </w:r>
      <w:r w:rsidR="00C55932">
        <w:t xml:space="preserve">, </w:t>
      </w:r>
      <w:r w:rsidR="004E3D90">
        <w:t xml:space="preserve">we argue that this additional layer of </w:t>
      </w:r>
      <w:r w:rsidR="00C55932">
        <w:t xml:space="preserve">quantitative </w:t>
      </w:r>
      <w:r w:rsidR="004E3D90">
        <w:t xml:space="preserve">analysis may not </w:t>
      </w:r>
      <w:r w:rsidR="00FB3961">
        <w:t xml:space="preserve">always </w:t>
      </w:r>
      <w:r w:rsidR="004E3D90">
        <w:t>provide decision-makers and the public with additional meaningful information</w:t>
      </w:r>
      <w:r w:rsidR="003913BE">
        <w:t xml:space="preserve">. </w:t>
      </w:r>
      <w:proofErr w:type="gramStart"/>
      <w:r w:rsidR="003913BE">
        <w:t>It is</w:t>
      </w:r>
      <w:r w:rsidR="00653AAB">
        <w:t xml:space="preserve"> </w:t>
      </w:r>
      <w:r w:rsidR="000E2D97">
        <w:t xml:space="preserve">the </w:t>
      </w:r>
      <w:r w:rsidR="00653AAB">
        <w:t xml:space="preserve">air districts </w:t>
      </w:r>
      <w:r w:rsidR="003913BE">
        <w:t>that</w:t>
      </w:r>
      <w:proofErr w:type="gramEnd"/>
      <w:r w:rsidR="003913BE">
        <w:t xml:space="preserve"> </w:t>
      </w:r>
      <w:r w:rsidR="00653AAB">
        <w:t>are best suited to provide frameworks for</w:t>
      </w:r>
      <w:r w:rsidR="000E2D97">
        <w:t xml:space="preserve"> how to identify</w:t>
      </w:r>
      <w:r w:rsidR="00653AAB">
        <w:t xml:space="preserve"> health effects of regional criteria pollutant emissions under CEQA</w:t>
      </w:r>
      <w:r w:rsidR="004E3D90">
        <w:t>.</w:t>
      </w:r>
      <w:r w:rsidR="008E662F">
        <w:t xml:space="preserve"> </w:t>
      </w:r>
    </w:p>
    <w:p w14:paraId="3A740B0C" w14:textId="7A25196C" w:rsidR="00955408" w:rsidRDefault="007F0847" w:rsidP="00955408">
      <w:pPr>
        <w:pStyle w:val="Heading1"/>
      </w:pPr>
      <w:r>
        <w:t>Introduction</w:t>
      </w:r>
    </w:p>
    <w:p w14:paraId="2CC270F4" w14:textId="58E72977" w:rsidR="00955408" w:rsidRPr="00955408" w:rsidRDefault="00955408" w:rsidP="00955408">
      <w:pPr>
        <w:pStyle w:val="BodyText"/>
      </w:pPr>
      <w:r>
        <w:t>Significance</w:t>
      </w:r>
      <w:r w:rsidRPr="00936019">
        <w:t xml:space="preserve"> thresholds </w:t>
      </w:r>
      <w:r w:rsidR="00653AAB">
        <w:t xml:space="preserve">for regional criteria pollutants </w:t>
      </w:r>
      <w:r w:rsidR="003913BE">
        <w:t xml:space="preserve">used </w:t>
      </w:r>
      <w:r>
        <w:t xml:space="preserve">by </w:t>
      </w:r>
      <w:r w:rsidR="005F1E74">
        <w:t xml:space="preserve">California </w:t>
      </w:r>
      <w:r>
        <w:t xml:space="preserve">air districts </w:t>
      </w:r>
      <w:r w:rsidR="008F5584">
        <w:t xml:space="preserve">and lead agencies </w:t>
      </w:r>
      <w:r w:rsidRPr="00936019">
        <w:t xml:space="preserve">represent the maximum emissions from a project that </w:t>
      </w:r>
      <w:proofErr w:type="gramStart"/>
      <w:r w:rsidRPr="00936019">
        <w:t>are not expected</w:t>
      </w:r>
      <w:proofErr w:type="gramEnd"/>
      <w:r w:rsidRPr="00936019">
        <w:t xml:space="preserve"> to cause or contribute to an exceedance of the most stringent applicable national or state ambient air quality standard</w:t>
      </w:r>
      <w:r w:rsidR="00C41537">
        <w:t xml:space="preserve"> (AAQS)</w:t>
      </w:r>
      <w:r w:rsidRPr="00936019">
        <w:t xml:space="preserve">. By analyzing the </w:t>
      </w:r>
      <w:r w:rsidR="00037145">
        <w:t>project</w:t>
      </w:r>
      <w:r w:rsidR="00037145" w:rsidRPr="00936019">
        <w:t xml:space="preserve">’s </w:t>
      </w:r>
      <w:r w:rsidRPr="00936019">
        <w:t>emissions against the</w:t>
      </w:r>
      <w:r w:rsidR="008F5584">
        <w:t>se</w:t>
      </w:r>
      <w:r w:rsidRPr="00936019">
        <w:t xml:space="preserve"> thresholds, the </w:t>
      </w:r>
      <w:r w:rsidR="00653AAB">
        <w:t>CEQA document</w:t>
      </w:r>
      <w:r w:rsidRPr="00936019">
        <w:t xml:space="preserve"> assesses whether these emissions directly contribute to any regional or local exceedances of the applicable </w:t>
      </w:r>
      <w:r w:rsidR="00C41537">
        <w:t>AAQS</w:t>
      </w:r>
      <w:r w:rsidRPr="00936019">
        <w:t xml:space="preserve"> and exposure levels.</w:t>
      </w:r>
      <w:r w:rsidRPr="00955408">
        <w:t xml:space="preserve"> </w:t>
      </w:r>
      <w:r>
        <w:t xml:space="preserve">The basis of the ruling in Friant Ranch was that the EIR did not provide a </w:t>
      </w:r>
      <w:r w:rsidRPr="001411EB">
        <w:t xml:space="preserve">meaningful analysis of the adverse health effects that would be associated with the project’s </w:t>
      </w:r>
      <w:r w:rsidR="008F5584">
        <w:t xml:space="preserve">criteria pollutant </w:t>
      </w:r>
      <w:r w:rsidRPr="001411EB">
        <w:t xml:space="preserve">emissions, which </w:t>
      </w:r>
      <w:proofErr w:type="gramStart"/>
      <w:r w:rsidRPr="001411EB">
        <w:t>were</w:t>
      </w:r>
      <w:r w:rsidR="00C43C01">
        <w:t xml:space="preserve"> identified</w:t>
      </w:r>
      <w:proofErr w:type="gramEnd"/>
      <w:r w:rsidR="00C43C01">
        <w:t xml:space="preserve"> as being</w:t>
      </w:r>
      <w:r w:rsidRPr="001411EB">
        <w:t xml:space="preserve"> far above the </w:t>
      </w:r>
      <w:r w:rsidR="00C43C01">
        <w:t>relevant</w:t>
      </w:r>
      <w:r w:rsidR="0086263D">
        <w:t xml:space="preserve"> </w:t>
      </w:r>
      <w:r w:rsidRPr="001411EB">
        <w:t>thresholds.</w:t>
      </w:r>
      <w:r>
        <w:t xml:space="preserve"> </w:t>
      </w:r>
      <w:r w:rsidR="0066021A">
        <w:t>T</w:t>
      </w:r>
      <w:r w:rsidRPr="001411EB">
        <w:t>he discussion of the adverse health effects</w:t>
      </w:r>
      <w:r>
        <w:t xml:space="preserve"> in the EIR was general in nature and did not </w:t>
      </w:r>
      <w:r w:rsidRPr="001411EB">
        <w:t>connect the levels of the pollutant</w:t>
      </w:r>
      <w:r>
        <w:t>s</w:t>
      </w:r>
      <w:r w:rsidRPr="001411EB">
        <w:t xml:space="preserve"> that </w:t>
      </w:r>
      <w:proofErr w:type="gramStart"/>
      <w:r w:rsidRPr="001411EB">
        <w:t>would be emitted</w:t>
      </w:r>
      <w:proofErr w:type="gramEnd"/>
      <w:r w:rsidRPr="001411EB">
        <w:t xml:space="preserve"> by the project</w:t>
      </w:r>
      <w:r>
        <w:t xml:space="preserve"> to adverse health </w:t>
      </w:r>
      <w:r w:rsidR="0086263D">
        <w:t>effects</w:t>
      </w:r>
      <w:r>
        <w:t>.</w:t>
      </w:r>
      <w:r w:rsidRPr="00936019">
        <w:t xml:space="preserve"> </w:t>
      </w:r>
    </w:p>
    <w:p w14:paraId="53205228" w14:textId="54CF0C46" w:rsidR="00446A21" w:rsidRPr="00733EAA" w:rsidRDefault="00446A21" w:rsidP="00446A21">
      <w:pPr>
        <w:pStyle w:val="BodyText"/>
      </w:pPr>
      <w:r w:rsidRPr="00EE7DDF">
        <w:rPr>
          <w:iCs/>
        </w:rPr>
        <w:t xml:space="preserve">The process of correlating project-related criteria pollutant emissions to health-based consequences </w:t>
      </w:r>
      <w:proofErr w:type="gramStart"/>
      <w:r w:rsidRPr="00EE7DDF">
        <w:rPr>
          <w:iCs/>
        </w:rPr>
        <w:t>is called</w:t>
      </w:r>
      <w:proofErr w:type="gramEnd"/>
      <w:r w:rsidRPr="00EE7DDF">
        <w:rPr>
          <w:iCs/>
        </w:rPr>
        <w:t xml:space="preserve"> a </w:t>
      </w:r>
      <w:r w:rsidRPr="00EE7DDF">
        <w:t>health impact assessment (HIA)</w:t>
      </w:r>
      <w:r w:rsidRPr="00EE7DDF">
        <w:rPr>
          <w:iCs/>
        </w:rPr>
        <w:t xml:space="preserve">. </w:t>
      </w:r>
      <w:proofErr w:type="gramStart"/>
      <w:r w:rsidRPr="00EE7DDF">
        <w:rPr>
          <w:iCs/>
        </w:rPr>
        <w:t>An HIA involves two steps: 1) running a regional photochemical grid model (PGM) to estimate the small increases in concentrations of ozone and particulate matter (PM) in the region as a result of a project’s emissions of criteria and precursor pollutants; and 2) running the U.S. EPA Benefits Mapping and Analysis Program (</w:t>
      </w:r>
      <w:proofErr w:type="spellStart"/>
      <w:r w:rsidRPr="00EE7DDF">
        <w:rPr>
          <w:iCs/>
        </w:rPr>
        <w:t>BenMAP</w:t>
      </w:r>
      <w:proofErr w:type="spellEnd"/>
      <w:r w:rsidRPr="00EE7DDF">
        <w:rPr>
          <w:iCs/>
        </w:rPr>
        <w:t>) to estimate the resulting health impacts from these increases in concentrations of ozone and PM.</w:t>
      </w:r>
      <w:proofErr w:type="gramEnd"/>
    </w:p>
    <w:p w14:paraId="75F0804C" w14:textId="16E6592F" w:rsidR="002557D9" w:rsidRDefault="000024C0" w:rsidP="000024C0">
      <w:pPr>
        <w:pStyle w:val="Heading1"/>
      </w:pPr>
      <w:r>
        <w:t>Limitations of Regional</w:t>
      </w:r>
      <w:r w:rsidR="004C739E">
        <w:t xml:space="preserve">-Scale </w:t>
      </w:r>
      <w:r>
        <w:t>Dispersion Model</w:t>
      </w:r>
      <w:r w:rsidR="004C739E">
        <w:t>s</w:t>
      </w:r>
    </w:p>
    <w:p w14:paraId="2FCFA874" w14:textId="25BD9982" w:rsidR="00936019" w:rsidRDefault="00FD3330" w:rsidP="00936019">
      <w:pPr>
        <w:pStyle w:val="BodyText"/>
      </w:pPr>
      <w:r>
        <w:t>I</w:t>
      </w:r>
      <w:r w:rsidR="00AF5A76">
        <w:t xml:space="preserve">t is technically feasible to conduct regional-scale </w:t>
      </w:r>
      <w:r w:rsidR="009A5F8E">
        <w:t xml:space="preserve">criteria pollutant </w:t>
      </w:r>
      <w:r w:rsidR="00AF5A76">
        <w:t xml:space="preserve">modeling for a development project. </w:t>
      </w:r>
      <w:r w:rsidR="007B1E4E" w:rsidRPr="00CE18AF">
        <w:t>P</w:t>
      </w:r>
      <w:r w:rsidR="007B1E4E">
        <w:t>articulate matter (PM)</w:t>
      </w:r>
      <w:r w:rsidR="007B1E4E" w:rsidRPr="00CE18AF">
        <w:t xml:space="preserve"> can be divided into two categories: directly emitted PM and secondary PM. Secondary PM, is formed via complex chemical reactions in the atmosphere between precursor chemicals such as </w:t>
      </w:r>
      <w:r w:rsidR="007B1E4E">
        <w:t>sulfur oxides (</w:t>
      </w:r>
      <w:proofErr w:type="spellStart"/>
      <w:r w:rsidR="007B1E4E" w:rsidRPr="00CE18AF">
        <w:t>SO</w:t>
      </w:r>
      <w:r w:rsidR="007B1E4E" w:rsidRPr="00CE18AF">
        <w:rPr>
          <w:vertAlign w:val="subscript"/>
        </w:rPr>
        <w:t>x</w:t>
      </w:r>
      <w:proofErr w:type="spellEnd"/>
      <w:r w:rsidR="007B1E4E">
        <w:t xml:space="preserve">) </w:t>
      </w:r>
      <w:r w:rsidR="007B1E4E" w:rsidRPr="00CE18AF">
        <w:t>and NO</w:t>
      </w:r>
      <w:r w:rsidR="007B1E4E" w:rsidRPr="00CE18AF">
        <w:rPr>
          <w:vertAlign w:val="subscript"/>
        </w:rPr>
        <w:t>x</w:t>
      </w:r>
      <w:r w:rsidR="001411EB" w:rsidRPr="001411EB">
        <w:t xml:space="preserve">, </w:t>
      </w:r>
      <w:r w:rsidR="0086247E">
        <w:t>O</w:t>
      </w:r>
      <w:r w:rsidR="001411EB" w:rsidRPr="001411EB">
        <w:t>zone</w:t>
      </w:r>
      <w:r w:rsidR="001411EB">
        <w:t xml:space="preserve"> (O</w:t>
      </w:r>
      <w:r w:rsidR="001411EB">
        <w:rPr>
          <w:vertAlign w:val="subscript"/>
        </w:rPr>
        <w:t>3</w:t>
      </w:r>
      <w:r w:rsidR="001411EB">
        <w:t>)</w:t>
      </w:r>
      <w:r w:rsidR="001411EB" w:rsidRPr="001411EB">
        <w:t xml:space="preserve"> is a secondary pollutant formed from the oxidation of </w:t>
      </w:r>
      <w:r w:rsidR="001411EB">
        <w:t>reactive organic gases (</w:t>
      </w:r>
      <w:r w:rsidR="001411EB" w:rsidRPr="001411EB">
        <w:t>ROG</w:t>
      </w:r>
      <w:r w:rsidR="001411EB">
        <w:t>s)</w:t>
      </w:r>
      <w:r w:rsidR="001411EB" w:rsidRPr="001411EB">
        <w:t xml:space="preserve"> and </w:t>
      </w:r>
      <w:r w:rsidR="001411EB">
        <w:t>nitrogen oxides (</w:t>
      </w:r>
      <w:r w:rsidR="001411EB" w:rsidRPr="001411EB">
        <w:t>NO</w:t>
      </w:r>
      <w:r w:rsidR="001411EB">
        <w:t>x)</w:t>
      </w:r>
      <w:r w:rsidR="001411EB" w:rsidRPr="001411EB">
        <w:t xml:space="preserve"> in the presence of sunlight. Rates of ozone formation are a function of a variety of complex physical factors, including </w:t>
      </w:r>
      <w:r w:rsidR="00936019" w:rsidRPr="00936019">
        <w:t>the presence of sunlight and precursor pollutants, natural topography, nearby structures that cause building downwash, atmospheric stability, and wind patterns</w:t>
      </w:r>
      <w:proofErr w:type="gramStart"/>
      <w:r w:rsidR="00936019" w:rsidRPr="00936019">
        <w:t>.</w:t>
      </w:r>
      <w:r w:rsidR="00CE18AF">
        <w:rPr>
          <w:vertAlign w:val="subscript"/>
        </w:rPr>
        <w:t>.</w:t>
      </w:r>
      <w:proofErr w:type="gramEnd"/>
      <w:r w:rsidR="00CE18AF">
        <w:rPr>
          <w:vertAlign w:val="subscript"/>
        </w:rPr>
        <w:t xml:space="preserve"> </w:t>
      </w:r>
      <w:r w:rsidR="00936019" w:rsidRPr="00936019">
        <w:t xml:space="preserve">Secondary formation of PM and ozone can occur far from </w:t>
      </w:r>
      <w:r w:rsidR="007B1E4E">
        <w:t xml:space="preserve">the original emissions </w:t>
      </w:r>
      <w:r w:rsidR="00936019" w:rsidRPr="00936019">
        <w:t>source</w:t>
      </w:r>
      <w:r w:rsidR="00EC7E00">
        <w:t xml:space="preserve"> </w:t>
      </w:r>
      <w:r w:rsidR="009A5F8E">
        <w:t>from</w:t>
      </w:r>
      <w:r w:rsidR="00936019" w:rsidRPr="00936019">
        <w:t xml:space="preserve"> </w:t>
      </w:r>
      <w:r w:rsidR="00EC7E00">
        <w:t>r</w:t>
      </w:r>
      <w:r w:rsidR="00936019" w:rsidRPr="00936019">
        <w:t>egional transport due to wind and topography (e.g. low-level jet stream).</w:t>
      </w:r>
      <w:r w:rsidR="001411EB">
        <w:t xml:space="preserve"> </w:t>
      </w:r>
      <w:r w:rsidR="00936019">
        <w:t>As such, m</w:t>
      </w:r>
      <w:r w:rsidR="00B07B12">
        <w:t xml:space="preserve">odeling concentrations of </w:t>
      </w:r>
      <w:r w:rsidR="009A5F8E">
        <w:t xml:space="preserve">secondary </w:t>
      </w:r>
      <w:r w:rsidR="00A368C2">
        <w:t xml:space="preserve">PM and </w:t>
      </w:r>
      <w:r w:rsidR="00B07B12">
        <w:t>ozone require photochemical grid model</w:t>
      </w:r>
      <w:r w:rsidR="009A5F8E">
        <w:t xml:space="preserve">s (PGMs), such as </w:t>
      </w:r>
      <w:r w:rsidR="00B07B12">
        <w:t>CMAQ</w:t>
      </w:r>
      <w:r w:rsidR="009A5F8E">
        <w:t xml:space="preserve"> and</w:t>
      </w:r>
      <w:r w:rsidR="00B07B12">
        <w:t xml:space="preserve"> </w:t>
      </w:r>
      <w:proofErr w:type="spellStart"/>
      <w:r w:rsidR="00B07B12">
        <w:t>CAMx</w:t>
      </w:r>
      <w:proofErr w:type="spellEnd"/>
      <w:r w:rsidR="009A5F8E">
        <w:t>.</w:t>
      </w:r>
      <w:r w:rsidR="003B09C3">
        <w:t xml:space="preserve"> </w:t>
      </w:r>
      <w:r w:rsidR="009A5F8E">
        <w:t xml:space="preserve">These models have </w:t>
      </w:r>
      <w:r w:rsidR="003B09C3">
        <w:t xml:space="preserve">a much larger “grid” system </w:t>
      </w:r>
      <w:r w:rsidR="009A5F8E">
        <w:t xml:space="preserve">and much lower resolution </w:t>
      </w:r>
      <w:r w:rsidR="003B09C3">
        <w:t>than localized dispersion modeling (e.g., AERMOD)</w:t>
      </w:r>
      <w:r w:rsidR="00B07B12">
        <w:t xml:space="preserve">. </w:t>
      </w:r>
      <w:r w:rsidR="009A5F8E">
        <w:t>For example, common grid cells in PGMs are 4x4 kilometers, while AERMOD can identify concentrations at the meter-level.</w:t>
      </w:r>
    </w:p>
    <w:p w14:paraId="61CAF434" w14:textId="18A4C85A" w:rsidR="007D1B5A" w:rsidRDefault="00936019" w:rsidP="007D1B5A">
      <w:pPr>
        <w:pStyle w:val="BodyText"/>
      </w:pPr>
      <w:r w:rsidRPr="00936019">
        <w:lastRenderedPageBreak/>
        <w:t>Photochemical modeling</w:t>
      </w:r>
      <w:r>
        <w:t xml:space="preserve"> also</w:t>
      </w:r>
      <w:r w:rsidRPr="00936019">
        <w:t xml:space="preserve"> depends on all emission sources in </w:t>
      </w:r>
      <w:r w:rsidR="000B60B6">
        <w:t xml:space="preserve">the </w:t>
      </w:r>
      <w:r w:rsidRPr="00936019">
        <w:t>entire domain. Low resolution and spatial averaging produces “noise” and model</w:t>
      </w:r>
      <w:r w:rsidR="0080621D">
        <w:t xml:space="preserve"> uncertainty</w:t>
      </w:r>
      <w:r w:rsidRPr="00936019">
        <w:t xml:space="preserve"> that </w:t>
      </w:r>
      <w:r w:rsidR="00C3022B">
        <w:t>can</w:t>
      </w:r>
      <w:r w:rsidRPr="00936019">
        <w:t xml:space="preserve"> exceed </w:t>
      </w:r>
      <w:r w:rsidR="0081616F">
        <w:t>a project’s specific</w:t>
      </w:r>
      <w:r w:rsidR="0081616F" w:rsidRPr="00936019">
        <w:t xml:space="preserve"> </w:t>
      </w:r>
      <w:r w:rsidR="0081616F">
        <w:t>emissions</w:t>
      </w:r>
      <w:r w:rsidRPr="00936019">
        <w:t>.</w:t>
      </w:r>
      <w:r>
        <w:t xml:space="preserve"> </w:t>
      </w:r>
      <w:r w:rsidR="00987821">
        <w:t xml:space="preserve">Additionally, </w:t>
      </w:r>
      <w:r w:rsidR="00987821" w:rsidRPr="004C739E">
        <w:t xml:space="preserve">regional-scale models are highly contingent upon background concentrations. Factors such </w:t>
      </w:r>
      <w:r w:rsidR="000B60B6">
        <w:t xml:space="preserve">as </w:t>
      </w:r>
      <w:r w:rsidR="00987821" w:rsidRPr="004C739E">
        <w:t>meteorology</w:t>
      </w:r>
      <w:r w:rsidR="009A5F8E">
        <w:t xml:space="preserve"> and topography</w:t>
      </w:r>
      <w:r w:rsidR="00987821" w:rsidRPr="004C739E">
        <w:t xml:space="preserve"> greatly affect the </w:t>
      </w:r>
      <w:r w:rsidR="001742D8">
        <w:t xml:space="preserve">certainty levels of </w:t>
      </w:r>
      <w:r w:rsidR="00987821" w:rsidRPr="004C739E">
        <w:t>predicted concentrations</w:t>
      </w:r>
      <w:r w:rsidR="0086637E">
        <w:t xml:space="preserve"> at receptor points</w:t>
      </w:r>
      <w:r w:rsidR="00987821" w:rsidRPr="004C739E">
        <w:t xml:space="preserve">. As a result, there are statistical ranges </w:t>
      </w:r>
      <w:r w:rsidR="0086637E">
        <w:t>of uncertainty</w:t>
      </w:r>
      <w:r w:rsidR="00987821" w:rsidRPr="004C739E">
        <w:t xml:space="preserve"> through all the modeling steps.</w:t>
      </w:r>
      <w:r w:rsidR="00987821" w:rsidRPr="00987821">
        <w:t xml:space="preserve"> </w:t>
      </w:r>
      <w:r w:rsidR="00002B15">
        <w:t>Due to these factors</w:t>
      </w:r>
      <w:r w:rsidR="00987821">
        <w:t>, it is difficult to p</w:t>
      </w:r>
      <w:r w:rsidR="00987821" w:rsidRPr="00936019">
        <w:t xml:space="preserve">redict ground-level </w:t>
      </w:r>
      <w:r w:rsidR="0081616F">
        <w:t xml:space="preserve">secondary </w:t>
      </w:r>
      <w:r w:rsidR="00BF6945">
        <w:t xml:space="preserve">PM and </w:t>
      </w:r>
      <w:r w:rsidR="00987821" w:rsidRPr="00936019">
        <w:t>ozone concentrations</w:t>
      </w:r>
      <w:r w:rsidR="00987821">
        <w:t xml:space="preserve"> </w:t>
      </w:r>
      <w:r w:rsidR="003913BE">
        <w:t>associated with</w:t>
      </w:r>
      <w:r w:rsidR="00BF6945">
        <w:t xml:space="preserve"> relative</w:t>
      </w:r>
      <w:r w:rsidR="000901A0">
        <w:t xml:space="preserve">ly small emission sources </w:t>
      </w:r>
      <w:r w:rsidR="00987821">
        <w:t xml:space="preserve">with a high degree of </w:t>
      </w:r>
      <w:r w:rsidR="00BF6945">
        <w:t>certainty</w:t>
      </w:r>
      <w:r w:rsidR="00987821" w:rsidRPr="00987821">
        <w:t xml:space="preserve">. </w:t>
      </w:r>
      <w:r w:rsidR="000901A0">
        <w:t>W</w:t>
      </w:r>
      <w:r w:rsidR="00987821" w:rsidRPr="00987821">
        <w:t xml:space="preserve">hile it is possible to </w:t>
      </w:r>
      <w:r w:rsidR="003913BE">
        <w:t>use</w:t>
      </w:r>
      <w:r w:rsidR="003913BE" w:rsidRPr="00987821">
        <w:t xml:space="preserve"> </w:t>
      </w:r>
      <w:r w:rsidR="00987821" w:rsidRPr="00987821">
        <w:t>a regional-scale model</w:t>
      </w:r>
      <w:r w:rsidR="00C06920">
        <w:t xml:space="preserve"> to predict </w:t>
      </w:r>
      <w:r w:rsidR="0081616F">
        <w:t xml:space="preserve">these </w:t>
      </w:r>
      <w:r w:rsidR="00C06920">
        <w:t>regional concentrations</w:t>
      </w:r>
      <w:r w:rsidR="00987821" w:rsidRPr="00987821">
        <w:t xml:space="preserve">, </w:t>
      </w:r>
      <w:r w:rsidR="008418D0">
        <w:t xml:space="preserve">when </w:t>
      </w:r>
      <w:r w:rsidR="00C06920">
        <w:t>a</w:t>
      </w:r>
      <w:r w:rsidR="008418D0">
        <w:t xml:space="preserve"> project</w:t>
      </w:r>
      <w:r w:rsidR="00C06920">
        <w:t>’s</w:t>
      </w:r>
      <w:r w:rsidR="008418D0">
        <w:t xml:space="preserve"> emissions are less than the regional model</w:t>
      </w:r>
      <w:r w:rsidR="0081616F">
        <w:t>’s</w:t>
      </w:r>
      <w:r w:rsidR="008418D0">
        <w:t xml:space="preserve"> resolution, the resultant ambient air quality </w:t>
      </w:r>
      <w:r w:rsidR="0081616F">
        <w:t>concentrations</w:t>
      </w:r>
      <w:r w:rsidR="0081616F" w:rsidDel="0081616F">
        <w:t xml:space="preserve"> </w:t>
      </w:r>
      <w:r w:rsidR="008418D0">
        <w:t>will be within the margin of uncertainty</w:t>
      </w:r>
      <w:r w:rsidR="00C06920">
        <w:t xml:space="preserve">. In </w:t>
      </w:r>
      <w:r w:rsidR="008418D0">
        <w:t xml:space="preserve">CEQA terms, </w:t>
      </w:r>
      <w:r w:rsidR="00C06920">
        <w:t xml:space="preserve">this </w:t>
      </w:r>
      <w:r w:rsidR="008418D0">
        <w:t>would fit the definition of “speculative”.  Only when the scale of emissions would result in changes in ambient air quality beyond the model margin of uncertainty would the results not be “speculative” as defined by CEQA.</w:t>
      </w:r>
    </w:p>
    <w:p w14:paraId="12CFC194" w14:textId="04A6EE0E" w:rsidR="00714F44" w:rsidRDefault="00912D37" w:rsidP="00A6416D">
      <w:pPr>
        <w:pStyle w:val="Heading1"/>
      </w:pPr>
      <w:r>
        <w:t>Identifying Health Effects due to Ambient Air Quality Changes</w:t>
      </w:r>
    </w:p>
    <w:p w14:paraId="6EACD456" w14:textId="5420F451" w:rsidR="00B46685" w:rsidRDefault="00B1216E" w:rsidP="00CE06E4">
      <w:pPr>
        <w:pStyle w:val="BodyText"/>
      </w:pPr>
      <w:proofErr w:type="spellStart"/>
      <w:r>
        <w:t>BenMap</w:t>
      </w:r>
      <w:proofErr w:type="spellEnd"/>
      <w:r>
        <w:t xml:space="preserve"> is </w:t>
      </w:r>
      <w:r w:rsidR="008418D0">
        <w:t xml:space="preserve">a model </w:t>
      </w:r>
      <w:r>
        <w:t xml:space="preserve">developed by the USEPA to understand the health effects from changes in </w:t>
      </w:r>
      <w:r w:rsidR="00B46685">
        <w:t xml:space="preserve">ozone and PM </w:t>
      </w:r>
      <w:r>
        <w:t xml:space="preserve">concentrations. If </w:t>
      </w:r>
      <w:r w:rsidR="00154BEA">
        <w:t>there is a</w:t>
      </w:r>
      <w:r w:rsidR="00D26334">
        <w:t>n acceptable level of</w:t>
      </w:r>
      <w:r w:rsidR="00154BEA">
        <w:t xml:space="preserve"> confidence that the </w:t>
      </w:r>
      <w:r w:rsidR="00720B19">
        <w:t>results provided by</w:t>
      </w:r>
      <w:r w:rsidR="00050A52">
        <w:t xml:space="preserve"> the </w:t>
      </w:r>
      <w:r w:rsidR="00154BEA">
        <w:t>regional dispersion modeling</w:t>
      </w:r>
      <w:r w:rsidR="00AF4D1A">
        <w:t xml:space="preserve"> </w:t>
      </w:r>
      <w:r w:rsidR="00720B19">
        <w:t>are</w:t>
      </w:r>
      <w:r w:rsidR="00AF4D1A">
        <w:t xml:space="preserve"> valid</w:t>
      </w:r>
      <w:r w:rsidR="00154BEA">
        <w:t xml:space="preserve">, then </w:t>
      </w:r>
      <w:r w:rsidR="00720B19">
        <w:t xml:space="preserve">these </w:t>
      </w:r>
      <w:r w:rsidR="00154BEA">
        <w:t>concentrations</w:t>
      </w:r>
      <w:r>
        <w:t xml:space="preserve"> </w:t>
      </w:r>
      <w:proofErr w:type="gramStart"/>
      <w:r w:rsidR="00050A52">
        <w:t xml:space="preserve">can </w:t>
      </w:r>
      <w:r>
        <w:t>be translated</w:t>
      </w:r>
      <w:proofErr w:type="gramEnd"/>
      <w:r>
        <w:t xml:space="preserve"> into health outcomes </w:t>
      </w:r>
      <w:r w:rsidR="00050A52">
        <w:t>using</w:t>
      </w:r>
      <w:r>
        <w:t xml:space="preserve"> </w:t>
      </w:r>
      <w:proofErr w:type="spellStart"/>
      <w:r>
        <w:t>BenMap</w:t>
      </w:r>
      <w:proofErr w:type="spellEnd"/>
      <w:r w:rsidR="00050A52">
        <w:t xml:space="preserve">. The health </w:t>
      </w:r>
      <w:r w:rsidR="00720B19">
        <w:t xml:space="preserve">outcomes </w:t>
      </w:r>
      <w:r w:rsidR="00050A52">
        <w:t xml:space="preserve">in </w:t>
      </w:r>
      <w:proofErr w:type="spellStart"/>
      <w:r w:rsidR="00050A52">
        <w:t>BenMap</w:t>
      </w:r>
      <w:proofErr w:type="spellEnd"/>
      <w:r w:rsidR="00050A52">
        <w:t xml:space="preserve"> </w:t>
      </w:r>
      <w:proofErr w:type="gramStart"/>
      <w:r w:rsidR="00050A52">
        <w:t>are</w:t>
      </w:r>
      <w:r>
        <w:t xml:space="preserve"> based</w:t>
      </w:r>
      <w:proofErr w:type="gramEnd"/>
      <w:r>
        <w:t xml:space="preserve"> on changes in ambient air concentrations </w:t>
      </w:r>
      <w:r w:rsidR="00050A52">
        <w:t>and</w:t>
      </w:r>
      <w:r>
        <w:t xml:space="preserve"> the population exposed</w:t>
      </w:r>
      <w:r w:rsidR="00050A52">
        <w:t xml:space="preserve"> to these changes</w:t>
      </w:r>
      <w:r>
        <w:t>.</w:t>
      </w:r>
      <w:r w:rsidR="00050A52">
        <w:t xml:space="preserve"> Data provided by this analysis </w:t>
      </w:r>
      <w:r w:rsidR="00092745">
        <w:t xml:space="preserve">may </w:t>
      </w:r>
      <w:r w:rsidR="004F17C7">
        <w:t>indicate increased number of</w:t>
      </w:r>
      <w:r w:rsidR="00F00B70">
        <w:t xml:space="preserve"> </w:t>
      </w:r>
      <w:r w:rsidR="009625B4">
        <w:t xml:space="preserve">workdays lost to illness, </w:t>
      </w:r>
      <w:r w:rsidR="00F00B70">
        <w:t>h</w:t>
      </w:r>
      <w:r w:rsidR="00B46685">
        <w:t>ospital admissions (respiratory)</w:t>
      </w:r>
      <w:r w:rsidR="004F17C7">
        <w:t>,</w:t>
      </w:r>
      <w:r w:rsidR="00F00B70">
        <w:t xml:space="preserve"> e</w:t>
      </w:r>
      <w:r w:rsidR="00B46685">
        <w:t>mergency room visits (asthma)</w:t>
      </w:r>
      <w:r w:rsidR="004F17C7">
        <w:t>, or m</w:t>
      </w:r>
      <w:r w:rsidR="00B46685">
        <w:t>ortality</w:t>
      </w:r>
      <w:r w:rsidR="009625B4">
        <w:t>, a</w:t>
      </w:r>
      <w:r w:rsidR="004F17C7">
        <w:t xml:space="preserve">mong other health </w:t>
      </w:r>
      <w:r w:rsidR="009625B4">
        <w:t>effects</w:t>
      </w:r>
      <w:r w:rsidR="00B87330">
        <w:t>.</w:t>
      </w:r>
      <w:r w:rsidR="00720B19">
        <w:t xml:space="preserve"> These </w:t>
      </w:r>
      <w:proofErr w:type="gramStart"/>
      <w:r w:rsidR="00720B19">
        <w:t>are called</w:t>
      </w:r>
      <w:proofErr w:type="gramEnd"/>
      <w:r w:rsidR="00720B19">
        <w:t xml:space="preserve"> “health incidences.”</w:t>
      </w:r>
    </w:p>
    <w:p w14:paraId="4357D60D" w14:textId="65967B58" w:rsidR="0018501E" w:rsidRDefault="0018501E" w:rsidP="005461C5">
      <w:pPr>
        <w:pStyle w:val="BodyText"/>
      </w:pPr>
      <w:r w:rsidRPr="0018501E">
        <w:t xml:space="preserve">Translating the incremental increase in </w:t>
      </w:r>
      <w:r w:rsidR="00720B19">
        <w:t>PM and ozone</w:t>
      </w:r>
      <w:r w:rsidR="00284B92">
        <w:t xml:space="preserve"> </w:t>
      </w:r>
      <w:r w:rsidRPr="0018501E">
        <w:t xml:space="preserve">concentrations to </w:t>
      </w:r>
      <w:r w:rsidR="00284B92">
        <w:t xml:space="preserve">specific </w:t>
      </w:r>
      <w:r w:rsidRPr="0018501E">
        <w:t>health</w:t>
      </w:r>
      <w:r w:rsidR="00284B92">
        <w:t xml:space="preserve"> effects</w:t>
      </w:r>
      <w:r w:rsidRPr="0018501E">
        <w:t xml:space="preserve"> </w:t>
      </w:r>
      <w:proofErr w:type="gramStart"/>
      <w:r w:rsidR="00E94CF8">
        <w:t>is</w:t>
      </w:r>
      <w:r w:rsidRPr="0018501E">
        <w:t xml:space="preserve"> </w:t>
      </w:r>
      <w:r w:rsidR="00720B19">
        <w:t>also</w:t>
      </w:r>
      <w:proofErr w:type="gramEnd"/>
      <w:r w:rsidR="00720B19">
        <w:t xml:space="preserve"> </w:t>
      </w:r>
      <w:r w:rsidRPr="0018501E">
        <w:t xml:space="preserve">subject to </w:t>
      </w:r>
      <w:r w:rsidR="00E94CF8">
        <w:t>uncertainty</w:t>
      </w:r>
      <w:r w:rsidRPr="0018501E">
        <w:t xml:space="preserve">. </w:t>
      </w:r>
      <w:proofErr w:type="gramStart"/>
      <w:r w:rsidRPr="0018501E">
        <w:t xml:space="preserve">For example, regional models assign the same toxicity </w:t>
      </w:r>
      <w:r w:rsidR="004937C1">
        <w:t>to PM</w:t>
      </w:r>
      <w:r w:rsidR="004937C1" w:rsidRPr="0018501E">
        <w:t xml:space="preserve"> </w:t>
      </w:r>
      <w:r w:rsidR="004937C1">
        <w:t xml:space="preserve">regardless of the source of PM (such as </w:t>
      </w:r>
      <w:r w:rsidRPr="0018501E">
        <w:t>road dust as exhaust</w:t>
      </w:r>
      <w:r w:rsidR="00F163CC">
        <w:t>)</w:t>
      </w:r>
      <w:r w:rsidRPr="0018501E">
        <w:t xml:space="preserve">, and </w:t>
      </w:r>
      <w:r w:rsidR="001A743B">
        <w:t xml:space="preserve">thus </w:t>
      </w:r>
      <w:r w:rsidRPr="0018501E">
        <w:t>potential</w:t>
      </w:r>
      <w:r w:rsidR="001A743B">
        <w:t>ly</w:t>
      </w:r>
      <w:r w:rsidRPr="0018501E">
        <w:t xml:space="preserve"> </w:t>
      </w:r>
      <w:proofErr w:type="spellStart"/>
      <w:r w:rsidRPr="0018501E">
        <w:t>overpredict</w:t>
      </w:r>
      <w:proofErr w:type="spellEnd"/>
      <w:r w:rsidRPr="0018501E">
        <w:t xml:space="preserve"> </w:t>
      </w:r>
      <w:r w:rsidR="001A743B">
        <w:t>adverse health effects</w:t>
      </w:r>
      <w:r w:rsidR="00F163CC">
        <w:t xml:space="preserve"> of PM</w:t>
      </w:r>
      <w:r w:rsidRPr="0018501E">
        <w:t>.</w:t>
      </w:r>
      <w:r w:rsidR="00BF1AE8">
        <w:t xml:space="preserve"> </w:t>
      </w:r>
      <w:proofErr w:type="spellStart"/>
      <w:r w:rsidR="003913BE">
        <w:t>BenMap</w:t>
      </w:r>
      <w:proofErr w:type="spellEnd"/>
      <w:r w:rsidR="003913BE">
        <w:t xml:space="preserve"> also assumes that h</w:t>
      </w:r>
      <w:r w:rsidR="003913BE" w:rsidRPr="003913BE">
        <w:t>ealth effects can occur at any concentration, including small incremental concentrations</w:t>
      </w:r>
      <w:r w:rsidR="003913BE">
        <w:t xml:space="preserve">, and assumes that </w:t>
      </w:r>
      <w:r w:rsidR="003913BE" w:rsidRPr="003913BE">
        <w:t>impacts seen at large concentration differences can be linearly scaled down to small increases in concentration, with no consideration of potential thresholds below which health impacts may not occur</w:t>
      </w:r>
      <w:r w:rsidR="003913BE">
        <w:t>.</w:t>
      </w:r>
      <w:proofErr w:type="gramEnd"/>
      <w:r w:rsidR="003913BE" w:rsidRPr="003913BE">
        <w:t xml:space="preserve"> </w:t>
      </w:r>
      <w:r w:rsidR="00BF1AE8">
        <w:t>Additionally,</w:t>
      </w:r>
      <w:r w:rsidRPr="0018501E">
        <w:t xml:space="preserve"> </w:t>
      </w:r>
      <w:proofErr w:type="spellStart"/>
      <w:r w:rsidRPr="0018501E">
        <w:t>BenMap</w:t>
      </w:r>
      <w:proofErr w:type="spellEnd"/>
      <w:r w:rsidRPr="0018501E">
        <w:t xml:space="preserve"> </w:t>
      </w:r>
      <w:proofErr w:type="gramStart"/>
      <w:r w:rsidRPr="0018501E">
        <w:t>is used</w:t>
      </w:r>
      <w:proofErr w:type="gramEnd"/>
      <w:r w:rsidRPr="0018501E">
        <w:t xml:space="preserve"> for assessing impacts over large areas and populations and </w:t>
      </w:r>
      <w:r>
        <w:t xml:space="preserve">was not </w:t>
      </w:r>
      <w:r w:rsidRPr="0018501E">
        <w:t xml:space="preserve">intended to be used for individual projects. </w:t>
      </w:r>
      <w:r>
        <w:t>For</w:t>
      </w:r>
      <w:r w:rsidRPr="0018501E">
        <w:t xml:space="preserve"> health incidences, the number of hospitalizations or increase in morbidity predicted by </w:t>
      </w:r>
      <w:proofErr w:type="spellStart"/>
      <w:r w:rsidR="00F163CC">
        <w:t>BenMap</w:t>
      </w:r>
      <w:proofErr w:type="spellEnd"/>
      <w:r w:rsidR="00F163CC">
        <w:t xml:space="preserve"> </w:t>
      </w:r>
      <w:proofErr w:type="gramStart"/>
      <w:r w:rsidRPr="0018501E">
        <w:t>is greatly affected</w:t>
      </w:r>
      <w:proofErr w:type="gramEnd"/>
      <w:r w:rsidRPr="0018501E">
        <w:t xml:space="preserve"> by the population characteristics.</w:t>
      </w:r>
      <w:r w:rsidRPr="0018501E">
        <w:rPr>
          <w:vertAlign w:val="superscript"/>
        </w:rPr>
        <w:footnoteReference w:id="1"/>
      </w:r>
      <w:r w:rsidRPr="0018501E">
        <w:t xml:space="preserve"> Small increases in emissions in an area with a high population have a much greater affect than large </w:t>
      </w:r>
      <w:r w:rsidR="00F163CC" w:rsidRPr="0018501E">
        <w:t xml:space="preserve">increases </w:t>
      </w:r>
      <w:r w:rsidR="00F163CC">
        <w:t>in</w:t>
      </w:r>
      <w:r w:rsidRPr="0018501E">
        <w:t xml:space="preserve"> emissions over an area with a small population. As a result, </w:t>
      </w:r>
      <w:r w:rsidR="001F2C51">
        <w:t xml:space="preserve">the same amount of </w:t>
      </w:r>
      <w:r w:rsidRPr="0018501E">
        <w:t xml:space="preserve">emissions generated </w:t>
      </w:r>
      <w:r w:rsidR="001F2C51">
        <w:t>in an urban area co</w:t>
      </w:r>
      <w:r w:rsidRPr="0018501E">
        <w:t xml:space="preserve">uld </w:t>
      </w:r>
      <w:r w:rsidR="00BD45F6">
        <w:t>result in</w:t>
      </w:r>
      <w:r w:rsidRPr="0018501E">
        <w:t xml:space="preserve"> greater health consequences than if </w:t>
      </w:r>
      <w:r w:rsidR="00BD45F6">
        <w:t xml:space="preserve">the same </w:t>
      </w:r>
      <w:r w:rsidR="00F163CC">
        <w:t>emissions</w:t>
      </w:r>
      <w:r w:rsidR="00F163CC" w:rsidRPr="0018501E">
        <w:t xml:space="preserve"> </w:t>
      </w:r>
      <w:r w:rsidRPr="0018501E">
        <w:t xml:space="preserve">occurred on the urban periphery, where </w:t>
      </w:r>
      <w:r w:rsidR="001C38E0">
        <w:t>fewer people may</w:t>
      </w:r>
      <w:r w:rsidRPr="0018501E">
        <w:t xml:space="preserve"> be affected.</w:t>
      </w:r>
      <w:r w:rsidR="00CB4202">
        <w:t xml:space="preserve"> </w:t>
      </w:r>
      <w:r w:rsidR="00F163CC">
        <w:t>T</w:t>
      </w:r>
      <w:r w:rsidR="00CB4202">
        <w:t xml:space="preserve">his will </w:t>
      </w:r>
      <w:r w:rsidR="00F163CC">
        <w:t xml:space="preserve">also </w:t>
      </w:r>
      <w:r w:rsidR="00CB4202">
        <w:t>depend on other factors including meteorology</w:t>
      </w:r>
      <w:r w:rsidR="00F163CC">
        <w:t xml:space="preserve"> and</w:t>
      </w:r>
      <w:r w:rsidR="00CB4202">
        <w:t xml:space="preserve"> photochemistry</w:t>
      </w:r>
      <w:r w:rsidR="00F163CC">
        <w:t>,</w:t>
      </w:r>
      <w:r w:rsidR="00CB4202">
        <w:t xml:space="preserve"> as discussed above. Emissions in areas </w:t>
      </w:r>
      <w:r w:rsidR="00F163CC">
        <w:t xml:space="preserve">with conditions that favor </w:t>
      </w:r>
      <w:r w:rsidR="00CB4202">
        <w:t xml:space="preserve">high </w:t>
      </w:r>
      <w:r w:rsidR="00F163CC">
        <w:t xml:space="preserve">air </w:t>
      </w:r>
      <w:r w:rsidR="00CB4202">
        <w:t>dispersion or unfavorable ozone formation will likely have relatively lower effects on ambient air quality and health outcomes</w:t>
      </w:r>
      <w:r w:rsidR="00E42978">
        <w:t xml:space="preserve">.  </w:t>
      </w:r>
    </w:p>
    <w:p w14:paraId="06FDC114" w14:textId="710854C5" w:rsidR="005461C5" w:rsidRDefault="0093668A" w:rsidP="005461C5">
      <w:pPr>
        <w:pStyle w:val="BodyText"/>
      </w:pPr>
      <w:r>
        <w:t>W</w:t>
      </w:r>
      <w:r w:rsidR="005D2378">
        <w:t xml:space="preserve">hile </w:t>
      </w:r>
      <w:proofErr w:type="spellStart"/>
      <w:r w:rsidR="005D2378">
        <w:t>BenMap</w:t>
      </w:r>
      <w:proofErr w:type="spellEnd"/>
      <w:r w:rsidR="005D2378">
        <w:t xml:space="preserve"> provides additional statistical information</w:t>
      </w:r>
      <w:r w:rsidR="0066021A">
        <w:t xml:space="preserve"> about health consequences requested by the Court in the Friant Ranch decision</w:t>
      </w:r>
      <w:r w:rsidR="005D2378">
        <w:t xml:space="preserve">, this information is </w:t>
      </w:r>
      <w:r>
        <w:t xml:space="preserve">only meaningful </w:t>
      </w:r>
      <w:r w:rsidR="00250BC0">
        <w:t>when presented with the</w:t>
      </w:r>
      <w:r>
        <w:t xml:space="preserve"> full health</w:t>
      </w:r>
      <w:r w:rsidR="005D2378">
        <w:t xml:space="preserve"> </w:t>
      </w:r>
      <w:r w:rsidR="0062323F">
        <w:t>context</w:t>
      </w:r>
      <w:r w:rsidR="003913BE">
        <w:t xml:space="preserve"> of the region or locality at hand</w:t>
      </w:r>
      <w:r w:rsidR="005D2378">
        <w:t xml:space="preserve">. For example, if the </w:t>
      </w:r>
      <w:proofErr w:type="spellStart"/>
      <w:r w:rsidR="00F163CC">
        <w:t>BenMap</w:t>
      </w:r>
      <w:proofErr w:type="spellEnd"/>
      <w:r w:rsidR="00F163CC">
        <w:t xml:space="preserve"> analysis says </w:t>
      </w:r>
      <w:r w:rsidR="005D2378">
        <w:t xml:space="preserve">that the project would </w:t>
      </w:r>
      <w:r w:rsidR="00F163CC">
        <w:t xml:space="preserve">result in </w:t>
      </w:r>
      <w:r w:rsidR="005D2378">
        <w:t xml:space="preserve">two additional hospital admissions, </w:t>
      </w:r>
      <w:r w:rsidR="00A568FE">
        <w:t xml:space="preserve">this result alone is not useful unless </w:t>
      </w:r>
      <w:r w:rsidR="00E62258">
        <w:t xml:space="preserve">one identifies </w:t>
      </w:r>
      <w:r w:rsidR="005D2378">
        <w:t>how many hospital admissions are caused by poor air quality now (without the project)</w:t>
      </w:r>
      <w:r w:rsidR="00E62258">
        <w:t xml:space="preserve"> and how many hospital admissions occur </w:t>
      </w:r>
      <w:r w:rsidR="00E62258">
        <w:lastRenderedPageBreak/>
        <w:t xml:space="preserve">overall (due to air quality and other </w:t>
      </w:r>
      <w:r w:rsidR="0026702C">
        <w:t>causes</w:t>
      </w:r>
      <w:r w:rsidR="000F4C38">
        <w:t>)</w:t>
      </w:r>
      <w:r w:rsidR="0026702C">
        <w:t>.</w:t>
      </w:r>
      <w:r w:rsidR="000F4C38">
        <w:t xml:space="preserve"> Because health </w:t>
      </w:r>
      <w:proofErr w:type="gramStart"/>
      <w:r w:rsidR="000F4C38">
        <w:t>is not solely influenced</w:t>
      </w:r>
      <w:proofErr w:type="gramEnd"/>
      <w:r w:rsidR="000F4C38">
        <w:t xml:space="preserve"> by ambient air quality, </w:t>
      </w:r>
      <w:r w:rsidR="001D4B64">
        <w:t>and</w:t>
      </w:r>
      <w:r w:rsidR="000F4C38">
        <w:t xml:space="preserve"> has many factors that are highly variable across geographies and populations, there is an added level of uncertainty in using a generalized identification of health effects due to air quality </w:t>
      </w:r>
      <w:r w:rsidR="001D4B64">
        <w:t xml:space="preserve">conditions </w:t>
      </w:r>
      <w:r w:rsidR="0062323F">
        <w:t>overlaid</w:t>
      </w:r>
      <w:r w:rsidR="000F4C38">
        <w:t xml:space="preserve"> onto a specific diverse set of health conditions and </w:t>
      </w:r>
      <w:r w:rsidR="001D4B64">
        <w:t xml:space="preserve">other </w:t>
      </w:r>
      <w:r w:rsidR="000F4C38">
        <w:t xml:space="preserve">factors. Regardless of the uncertainty levels, if regional health effects </w:t>
      </w:r>
      <w:proofErr w:type="gramStart"/>
      <w:r w:rsidR="000F4C38">
        <w:t>are identified</w:t>
      </w:r>
      <w:proofErr w:type="gramEnd"/>
      <w:r w:rsidR="001D4B64">
        <w:t xml:space="preserve"> for a project</w:t>
      </w:r>
      <w:r w:rsidR="000F4C38">
        <w:t xml:space="preserve">, then the CEQA analysis </w:t>
      </w:r>
      <w:r w:rsidR="001D4B64">
        <w:t xml:space="preserve">needs </w:t>
      </w:r>
      <w:r w:rsidR="000F4C38">
        <w:t>to provide a full health baseline for decision-makers and the public to be able to understand the marginal change due to project criteria pollutant emissions</w:t>
      </w:r>
      <w:r w:rsidR="00EE018F">
        <w:t>.</w:t>
      </w:r>
      <w:r w:rsidR="00FA5C1F">
        <w:t xml:space="preserve"> </w:t>
      </w:r>
      <w:proofErr w:type="gramStart"/>
      <w:r w:rsidR="00FA5C1F" w:rsidRPr="0018501E">
        <w:t xml:space="preserve">Given the margin of </w:t>
      </w:r>
      <w:r w:rsidR="00FA5C1F">
        <w:t>uncertainty</w:t>
      </w:r>
      <w:r w:rsidR="00FA5C1F" w:rsidRPr="0018501E">
        <w:t xml:space="preserve"> at each step in the process</w:t>
      </w:r>
      <w:r w:rsidR="00FA5C1F">
        <w:t xml:space="preserve"> (regional scale modeling, existing ambient air quality effects on health, population health conditions vulnerability, and marginal health effects of air pollution)</w:t>
      </w:r>
      <w:r w:rsidR="00FA5C1F" w:rsidRPr="0018501E">
        <w:t xml:space="preserve">, </w:t>
      </w:r>
      <w:r w:rsidR="00FA5C1F">
        <w:t xml:space="preserve">the identification of marginal health effects due to individual projects using regional air quality modelling and tools such as </w:t>
      </w:r>
      <w:proofErr w:type="spellStart"/>
      <w:r w:rsidR="00FA5C1F">
        <w:t>BenMap</w:t>
      </w:r>
      <w:proofErr w:type="spellEnd"/>
      <w:r w:rsidR="00FA5C1F" w:rsidRPr="0018501E">
        <w:t xml:space="preserve"> </w:t>
      </w:r>
      <w:r w:rsidR="00E54B3D">
        <w:t xml:space="preserve">are likely to </w:t>
      </w:r>
      <w:r w:rsidR="00FA5C1F">
        <w:t>be within the level of uncertainty and thus defined as “speculative” per CEQA.</w:t>
      </w:r>
      <w:proofErr w:type="gramEnd"/>
      <w:r w:rsidR="0026702C">
        <w:t xml:space="preserve"> </w:t>
      </w:r>
      <w:r w:rsidR="005D2378">
        <w:t xml:space="preserve">  </w:t>
      </w:r>
    </w:p>
    <w:p w14:paraId="72989E15" w14:textId="4CF20279" w:rsidR="00C44B08" w:rsidRDefault="00C44B08" w:rsidP="00C44B08">
      <w:pPr>
        <w:pStyle w:val="Heading1"/>
      </w:pPr>
      <w:r>
        <w:t xml:space="preserve">The Role of Air Districts </w:t>
      </w:r>
    </w:p>
    <w:p w14:paraId="277B729F" w14:textId="7B55C60D" w:rsidR="00801F74" w:rsidRDefault="00955408" w:rsidP="00955408">
      <w:pPr>
        <w:pStyle w:val="BodyText"/>
      </w:pPr>
      <w:r w:rsidRPr="00BE6F39">
        <w:t xml:space="preserve">Regional, community, multiscale air quality modeling conducted by </w:t>
      </w:r>
      <w:r>
        <w:t>the air districts for each individual air basin or locality within the air basin</w:t>
      </w:r>
      <w:r w:rsidRPr="00BE6F39">
        <w:t xml:space="preserve"> would be the most </w:t>
      </w:r>
      <w:r w:rsidRPr="005A7887">
        <w:t>appropriate indictor of health effects</w:t>
      </w:r>
      <w:r w:rsidR="00250BC0">
        <w:t xml:space="preserve"> for projects</w:t>
      </w:r>
      <w:r w:rsidRPr="005A7887">
        <w:t>. The AQMPs</w:t>
      </w:r>
      <w:r w:rsidRPr="00BE6F39">
        <w:t xml:space="preserve"> provide a forecast of regional emissions based on regional dispersion modeling for all sources within the </w:t>
      </w:r>
      <w:r w:rsidRPr="005A7887">
        <w:t>air basin</w:t>
      </w:r>
      <w:r w:rsidRPr="00BE6F39">
        <w:t xml:space="preserve">. </w:t>
      </w:r>
      <w:r w:rsidRPr="005A7887">
        <w:t xml:space="preserve">Regional-scale models attempt to account for all emissions sources within an air basin. </w:t>
      </w:r>
    </w:p>
    <w:p w14:paraId="03014CEB" w14:textId="100D3960" w:rsidR="00955408" w:rsidRPr="00955408" w:rsidRDefault="00955408" w:rsidP="00955408">
      <w:pPr>
        <w:pStyle w:val="BodyText"/>
      </w:pPr>
      <w:r w:rsidRPr="00BE6F39">
        <w:t xml:space="preserve">The </w:t>
      </w:r>
      <w:r w:rsidRPr="005A7887">
        <w:t xml:space="preserve">regional scale </w:t>
      </w:r>
      <w:r w:rsidRPr="00BE6F39">
        <w:t>model</w:t>
      </w:r>
      <w:r w:rsidRPr="005A7887">
        <w:t xml:space="preserve"> </w:t>
      </w:r>
      <w:r w:rsidRPr="00BE6F39">
        <w:t xml:space="preserve">requires inputs such as </w:t>
      </w:r>
      <w:r w:rsidRPr="005A7887">
        <w:t xml:space="preserve">existing and future </w:t>
      </w:r>
      <w:r w:rsidRPr="00BE6F39">
        <w:t>regional sources of pollutants and global meteorological data, which are generally not accessible</w:t>
      </w:r>
      <w:r w:rsidR="00250BC0">
        <w:t xml:space="preserve"> by CEQA practitioners</w:t>
      </w:r>
      <w:r w:rsidRPr="005A7887">
        <w:t xml:space="preserve">. </w:t>
      </w:r>
      <w:r w:rsidR="00063CC8">
        <w:t>Modeling of future years</w:t>
      </w:r>
      <w:r>
        <w:t xml:space="preserve"> should consider future concentrations of air pollutants based on regional growth projections and existing programs, rules, and regulations adopted by Federal, State, and local air districts</w:t>
      </w:r>
      <w:r w:rsidRPr="00BE6F39">
        <w:t>.</w:t>
      </w:r>
      <w:r w:rsidR="00801F74">
        <w:t xml:space="preserve"> </w:t>
      </w:r>
      <w:r w:rsidRPr="00BE6F39">
        <w:t xml:space="preserve">In general, air pollution in California is decreasing </w:t>
      </w:r>
      <w:proofErr w:type="gramStart"/>
      <w:r w:rsidRPr="00BE6F39">
        <w:t>as a result</w:t>
      </w:r>
      <w:proofErr w:type="gramEnd"/>
      <w:r w:rsidRPr="00BE6F39">
        <w:t xml:space="preserve"> of Federal and State laws. Based on the air quality management plans (AQMPs) require</w:t>
      </w:r>
      <w:r w:rsidR="000B60B6">
        <w:t>d</w:t>
      </w:r>
      <w:r w:rsidRPr="00BE6F39">
        <w:t xml:space="preserve"> for air districts in a nonattainment area, air quality in the air basin</w:t>
      </w:r>
      <w:r w:rsidR="00801F74">
        <w:t>s</w:t>
      </w:r>
      <w:r w:rsidRPr="00BE6F39">
        <w:t xml:space="preserve"> </w:t>
      </w:r>
      <w:proofErr w:type="gramStart"/>
      <w:r w:rsidR="00801F74">
        <w:t>are</w:t>
      </w:r>
      <w:r w:rsidRPr="00BE6F39">
        <w:t xml:space="preserve"> anticipated</w:t>
      </w:r>
      <w:proofErr w:type="gramEnd"/>
      <w:r w:rsidRPr="00BE6F39">
        <w:t xml:space="preserve"> to improve despite an increase in population and employment growth. Air </w:t>
      </w:r>
      <w:r>
        <w:t>d</w:t>
      </w:r>
      <w:r w:rsidRPr="00BE6F39">
        <w:t xml:space="preserve">istricts </w:t>
      </w:r>
      <w:proofErr w:type="gramStart"/>
      <w:r w:rsidRPr="00BE6F39">
        <w:t>are charged</w:t>
      </w:r>
      <w:proofErr w:type="gramEnd"/>
      <w:r w:rsidRPr="00BE6F39">
        <w:t xml:space="preserve"> with assessing programs, rules, and regulations so that the increase in population and employment does not conflict with the mandate to achieve the AAQS.</w:t>
      </w:r>
      <w:r>
        <w:t xml:space="preserve"> </w:t>
      </w:r>
      <w:r w:rsidRPr="00FF6285">
        <w:rPr>
          <w:u w:val="single"/>
        </w:rPr>
        <w:t xml:space="preserve">Because emissions forecasting and health outcomes based on the regional growth projections to achieve the AAQS is under the purview of the air districts, it should </w:t>
      </w:r>
      <w:r w:rsidR="00FF6285" w:rsidRPr="00FF6285">
        <w:rPr>
          <w:u w:val="single"/>
        </w:rPr>
        <w:t xml:space="preserve">also </w:t>
      </w:r>
      <w:r w:rsidRPr="00FF6285">
        <w:rPr>
          <w:u w:val="single"/>
        </w:rPr>
        <w:t xml:space="preserve">fall on the air districts to identify the potential health outcomes associated with </w:t>
      </w:r>
      <w:r w:rsidR="003913BE">
        <w:rPr>
          <w:u w:val="single"/>
        </w:rPr>
        <w:t xml:space="preserve">individual </w:t>
      </w:r>
      <w:r w:rsidR="00250BC0">
        <w:rPr>
          <w:u w:val="single"/>
        </w:rPr>
        <w:t>project’s criteria pollutant emissions</w:t>
      </w:r>
      <w:r w:rsidRPr="00FF6285">
        <w:rPr>
          <w:u w:val="single"/>
        </w:rPr>
        <w:t>.</w:t>
      </w:r>
    </w:p>
    <w:p w14:paraId="7AD8F690" w14:textId="33232BFB" w:rsidR="00B07B12" w:rsidRDefault="00B07B12" w:rsidP="00B07B12">
      <w:pPr>
        <w:pStyle w:val="BodyText"/>
      </w:pPr>
      <w:r>
        <w:t>The South Coast Air Quality Management District (South Coast AQMD) and the Sacramento Metropolitan Air Quality Management District (</w:t>
      </w:r>
      <w:r w:rsidR="00C41537">
        <w:t xml:space="preserve">Sacramento </w:t>
      </w:r>
      <w:r>
        <w:t>M</w:t>
      </w:r>
      <w:r w:rsidR="00C41537">
        <w:t xml:space="preserve">etropolitan </w:t>
      </w:r>
      <w:r>
        <w:t xml:space="preserve">AQMD) are </w:t>
      </w:r>
      <w:r w:rsidR="00010101">
        <w:t xml:space="preserve">exploring </w:t>
      </w:r>
      <w:r>
        <w:t xml:space="preserve">concepts for </w:t>
      </w:r>
      <w:r w:rsidR="00010101">
        <w:t xml:space="preserve">project-level </w:t>
      </w:r>
      <w:r>
        <w:t xml:space="preserve">analysis in light of Friant Ranch to assist </w:t>
      </w:r>
      <w:r w:rsidR="00010101">
        <w:t xml:space="preserve">local </w:t>
      </w:r>
      <w:r>
        <w:t xml:space="preserve">lead agencies. </w:t>
      </w:r>
    </w:p>
    <w:p w14:paraId="450F9EBB" w14:textId="258861D6" w:rsidR="00B07B12" w:rsidRDefault="00B07B12" w:rsidP="00B07B12">
      <w:pPr>
        <w:pStyle w:val="Bullet1Last"/>
      </w:pPr>
      <w:proofErr w:type="gramStart"/>
      <w:r>
        <w:t>South Coast AQMD is looking at the large</w:t>
      </w:r>
      <w:r w:rsidR="00323972">
        <w:t>s</w:t>
      </w:r>
      <w:r>
        <w:t xml:space="preserve">t land use development project they have had in the air basin and doing a sensitivity analysis (using </w:t>
      </w:r>
      <w:proofErr w:type="spellStart"/>
      <w:r>
        <w:t>CAMx</w:t>
      </w:r>
      <w:proofErr w:type="spellEnd"/>
      <w:r>
        <w:t xml:space="preserve"> for photochemical grid modeling and </w:t>
      </w:r>
      <w:proofErr w:type="spellStart"/>
      <w:r>
        <w:t>BenMap</w:t>
      </w:r>
      <w:proofErr w:type="spellEnd"/>
      <w:r>
        <w:t xml:space="preserve"> for health outcomes) to see how locating a very large project in different part</w:t>
      </w:r>
      <w:r w:rsidR="00323972">
        <w:t>s</w:t>
      </w:r>
      <w:r>
        <w:t xml:space="preserve"> of the air basin (Los Angeles, Inland Empire, v. Orange County) would affect the health incidence.</w:t>
      </w:r>
      <w:proofErr w:type="gramEnd"/>
      <w:r>
        <w:t xml:space="preserve"> </w:t>
      </w:r>
    </w:p>
    <w:p w14:paraId="387F1386" w14:textId="2EC0C6DD" w:rsidR="00C44B08" w:rsidRDefault="00B07B12" w:rsidP="00C44B08">
      <w:pPr>
        <w:pStyle w:val="Bullet1Last"/>
      </w:pPr>
      <w:r>
        <w:t>S</w:t>
      </w:r>
      <w:r w:rsidR="00C41537">
        <w:t xml:space="preserve">acramento </w:t>
      </w:r>
      <w:r>
        <w:t>M</w:t>
      </w:r>
      <w:r w:rsidR="00C41537">
        <w:t xml:space="preserve">etropolitan </w:t>
      </w:r>
      <w:r>
        <w:t>AQMD is also looking at a screening process. Rather than looking at the upper end (i.e., largest project in the air basin), S</w:t>
      </w:r>
      <w:r w:rsidR="00C41537">
        <w:t xml:space="preserve">acramento </w:t>
      </w:r>
      <w:r>
        <w:t>M</w:t>
      </w:r>
      <w:r w:rsidR="00C41537">
        <w:t xml:space="preserve">etropolitan </w:t>
      </w:r>
      <w:r>
        <w:t xml:space="preserve">AQMD is starting at the smallest project that exceeds the </w:t>
      </w:r>
      <w:r w:rsidR="009B0934">
        <w:t>regional significance</w:t>
      </w:r>
      <w:r>
        <w:t xml:space="preserve"> threshold and running </w:t>
      </w:r>
      <w:proofErr w:type="spellStart"/>
      <w:r>
        <w:t>CAMx</w:t>
      </w:r>
      <w:proofErr w:type="spellEnd"/>
      <w:r>
        <w:t xml:space="preserve"> and </w:t>
      </w:r>
      <w:proofErr w:type="spellStart"/>
      <w:r>
        <w:t>BenMap</w:t>
      </w:r>
      <w:proofErr w:type="spellEnd"/>
      <w:r>
        <w:t xml:space="preserve"> at different locations in the air basin to see how it affects </w:t>
      </w:r>
      <w:r w:rsidR="00010101">
        <w:t xml:space="preserve">regional </w:t>
      </w:r>
      <w:r>
        <w:t>health incidence</w:t>
      </w:r>
      <w:r w:rsidR="00010101">
        <w:t>s</w:t>
      </w:r>
      <w:r>
        <w:t xml:space="preserve">. </w:t>
      </w:r>
    </w:p>
    <w:p w14:paraId="51FA62E2" w14:textId="675B1D5D" w:rsidR="00E70E22" w:rsidRDefault="00E70E22" w:rsidP="00A204EB">
      <w:pPr>
        <w:pStyle w:val="BodyText"/>
      </w:pPr>
      <w:r>
        <w:t>Guidance from Air Districts would be the most effective way to incorporate meaningful information concerning regional health effects of project criteria pollutants in CEQA analyses, including guidance as to when modelling is and is not useful</w:t>
      </w:r>
      <w:r w:rsidR="00010101">
        <w:t xml:space="preserve"> and </w:t>
      </w:r>
      <w:r>
        <w:t>meaningful, how modelling should be conducted, and how to best present additional information to inform decision-makers and the public</w:t>
      </w:r>
      <w:r w:rsidR="00010101">
        <w:t xml:space="preserve"> about a project’s impacts</w:t>
      </w:r>
      <w:r>
        <w:t>.</w:t>
      </w:r>
    </w:p>
    <w:p w14:paraId="65D140EC" w14:textId="363A8CE8" w:rsidR="00E70E22" w:rsidRDefault="00E70E22" w:rsidP="00E70E22">
      <w:pPr>
        <w:pStyle w:val="Heading1"/>
      </w:pPr>
      <w:proofErr w:type="gramStart"/>
      <w:r>
        <w:lastRenderedPageBreak/>
        <w:t>So…until air districts do their part, what should we do?</w:t>
      </w:r>
      <w:proofErr w:type="gramEnd"/>
    </w:p>
    <w:p w14:paraId="4F044A74" w14:textId="01F50A6D" w:rsidR="00B60323" w:rsidRDefault="00B60323" w:rsidP="00EE7DDF">
      <w:pPr>
        <w:pStyle w:val="Heading2"/>
      </w:pPr>
      <w:r>
        <w:t>Projects with criteria pollutant emissions below air district thresholds</w:t>
      </w:r>
    </w:p>
    <w:p w14:paraId="309D9FFC" w14:textId="3DD302D0" w:rsidR="00B60323" w:rsidRDefault="00B60323" w:rsidP="00620A90">
      <w:pPr>
        <w:pStyle w:val="BodyText"/>
      </w:pPr>
      <w:r>
        <w:t xml:space="preserve">The Friant Ranch ruling was about providing disclosure of health effects of project emissions that were well over the significance thresholds.  Since the air </w:t>
      </w:r>
      <w:proofErr w:type="gramStart"/>
      <w:r>
        <w:t>district</w:t>
      </w:r>
      <w:proofErr w:type="gramEnd"/>
      <w:r>
        <w:t xml:space="preserve"> thresholds are tied to a level the air districts find to not have a significant effect on ambient air quality, there should be no need to discuss the health effects of criteria pollutant emissions that are less than the significance thresholds.</w:t>
      </w:r>
    </w:p>
    <w:p w14:paraId="47066F1C" w14:textId="718E7A41" w:rsidR="00B60323" w:rsidRDefault="00B60323" w:rsidP="00EE7DDF">
      <w:pPr>
        <w:pStyle w:val="Heading2"/>
      </w:pPr>
      <w:r>
        <w:t>Projects with criteria pollutant emissions above air district thresholds</w:t>
      </w:r>
    </w:p>
    <w:p w14:paraId="408FF66C" w14:textId="7F09CEDE" w:rsidR="00C44B08" w:rsidRDefault="00C44B08" w:rsidP="00620A90">
      <w:pPr>
        <w:pStyle w:val="BodyText"/>
      </w:pPr>
      <w:r>
        <w:t xml:space="preserve">Pursuant to Section 15125 of the CEQA Guidelines, the environmental setting will normally constitute the baseline physical conditions by which a lead agency determines whether an impact is significant. For CEQA, the health effects </w:t>
      </w:r>
      <w:r w:rsidRPr="004C739E">
        <w:t xml:space="preserve">associated with buildout </w:t>
      </w:r>
      <w:r>
        <w:t xml:space="preserve">of a project </w:t>
      </w:r>
      <w:r w:rsidRPr="004C739E">
        <w:t xml:space="preserve">would occur at the </w:t>
      </w:r>
      <w:r>
        <w:t xml:space="preserve">project’s </w:t>
      </w:r>
      <w:r w:rsidRPr="004C739E">
        <w:t>horizon</w:t>
      </w:r>
      <w:r>
        <w:t xml:space="preserve"> year.</w:t>
      </w:r>
      <w:r w:rsidRPr="004C739E">
        <w:t xml:space="preserve"> </w:t>
      </w:r>
      <w:r>
        <w:t xml:space="preserve">Because CEQA requires an analysis of the change from existing conditions, the change in </w:t>
      </w:r>
      <w:r w:rsidR="0062323F">
        <w:t>effects</w:t>
      </w:r>
      <w:r>
        <w:t xml:space="preserve"> would be associated with changes in ambient air quality and associated health outcomes between existing conditions and the project’s horizon year. </w:t>
      </w:r>
      <w:proofErr w:type="gramStart"/>
      <w:r>
        <w:t xml:space="preserve">Therefore, in order to show how a project affects health outcomes in an air basin, </w:t>
      </w:r>
      <w:r w:rsidR="00BF6CA8">
        <w:t>the</w:t>
      </w:r>
      <w:r>
        <w:t xml:space="preserve"> </w:t>
      </w:r>
      <w:r w:rsidR="00620A90">
        <w:t>CEQA documents will need to qualitatively or quantitatively address</w:t>
      </w:r>
      <w:r w:rsidR="004C41AB">
        <w:t>: (1) e</w:t>
      </w:r>
      <w:r>
        <w:t xml:space="preserve">xisting </w:t>
      </w:r>
      <w:r w:rsidR="00721F25">
        <w:t xml:space="preserve">ambient criteria pollutant </w:t>
      </w:r>
      <w:r>
        <w:t>concentrations</w:t>
      </w:r>
      <w:r w:rsidR="00721F25">
        <w:t xml:space="preserve">, </w:t>
      </w:r>
      <w:r>
        <w:t xml:space="preserve">health </w:t>
      </w:r>
      <w:r w:rsidR="00721F25">
        <w:t>incidences due to existing air quality, and health incidences overall</w:t>
      </w:r>
      <w:r w:rsidR="00620A90">
        <w:t>; 2) f</w:t>
      </w:r>
      <w:r>
        <w:t xml:space="preserve">uture (without project) </w:t>
      </w:r>
      <w:r w:rsidR="00721F25">
        <w:t xml:space="preserve">ambient criteria pollutant </w:t>
      </w:r>
      <w:r>
        <w:t xml:space="preserve">concentrations and health </w:t>
      </w:r>
      <w:r w:rsidR="00721F25">
        <w:t>incidences</w:t>
      </w:r>
      <w:r w:rsidR="00620A90">
        <w:t>, and 3)</w:t>
      </w:r>
      <w:r w:rsidR="00721F25">
        <w:t xml:space="preserve"> </w:t>
      </w:r>
      <w:r w:rsidR="00620A90">
        <w:t>f</w:t>
      </w:r>
      <w:r>
        <w:t xml:space="preserve">uture (with project) </w:t>
      </w:r>
      <w:r w:rsidR="00721F25">
        <w:t xml:space="preserve">ambient criteria pollutant </w:t>
      </w:r>
      <w:r>
        <w:t>concentrations and health</w:t>
      </w:r>
      <w:r w:rsidR="00721F25">
        <w:t xml:space="preserve"> incidences</w:t>
      </w:r>
      <w:r>
        <w:t>.</w:t>
      </w:r>
      <w:proofErr w:type="gramEnd"/>
      <w:r>
        <w:t xml:space="preserve"> </w:t>
      </w:r>
    </w:p>
    <w:p w14:paraId="2482C238" w14:textId="681776DD" w:rsidR="00721F25" w:rsidRDefault="00604659" w:rsidP="00620A90">
      <w:pPr>
        <w:pStyle w:val="BodyText"/>
      </w:pPr>
      <w:r>
        <w:t xml:space="preserve">Projects with significant criteria pollutant emissions </w:t>
      </w:r>
      <w:r w:rsidR="00666742">
        <w:t>could use regional modelling</w:t>
      </w:r>
      <w:r w:rsidR="00A60F54">
        <w:t xml:space="preserve"> and </w:t>
      </w:r>
      <w:proofErr w:type="spellStart"/>
      <w:r w:rsidR="00A60F54">
        <w:t>BenMap</w:t>
      </w:r>
      <w:proofErr w:type="spellEnd"/>
      <w:r w:rsidR="00A60F54">
        <w:t xml:space="preserve"> to </w:t>
      </w:r>
      <w:r w:rsidR="00314068">
        <w:t>identify health effects of project emissions, but it is likely that many</w:t>
      </w:r>
      <w:r w:rsidR="00BF6CA8">
        <w:t xml:space="preserve"> (or</w:t>
      </w:r>
      <w:r w:rsidR="00314068">
        <w:t xml:space="preserve"> most</w:t>
      </w:r>
      <w:r w:rsidR="00BF6CA8">
        <w:t>)</w:t>
      </w:r>
      <w:r w:rsidR="00314068">
        <w:t xml:space="preserve"> projects that are not regionally substantial </w:t>
      </w:r>
      <w:r w:rsidR="00BF6CA8">
        <w:t xml:space="preserve">in </w:t>
      </w:r>
      <w:r w:rsidR="00314068">
        <w:t xml:space="preserve">scale will be shown to have minimal regional changes in </w:t>
      </w:r>
      <w:r w:rsidR="00BF6CA8">
        <w:t xml:space="preserve">PM and ozone </w:t>
      </w:r>
      <w:r w:rsidR="00314068">
        <w:t xml:space="preserve">concentrations and </w:t>
      </w:r>
      <w:r w:rsidR="00BF6CA8">
        <w:t xml:space="preserve">therefore </w:t>
      </w:r>
      <w:r w:rsidR="00314068">
        <w:t xml:space="preserve">minimal changes in </w:t>
      </w:r>
      <w:r w:rsidR="00BF6CA8">
        <w:t xml:space="preserve">associated </w:t>
      </w:r>
      <w:r w:rsidR="00314068">
        <w:t>health effects</w:t>
      </w:r>
      <w:r w:rsidR="006830BB">
        <w:t xml:space="preserve">. In addition, many </w:t>
      </w:r>
      <w:r w:rsidR="004C588E">
        <w:t>projects</w:t>
      </w:r>
      <w:r w:rsidR="006830BB">
        <w:t xml:space="preserve"> may have emissions that are less than the uncertainty level </w:t>
      </w:r>
      <w:r w:rsidR="00AE09D4">
        <w:t>of</w:t>
      </w:r>
      <w:r w:rsidR="00705D91">
        <w:t xml:space="preserve"> regional air quality models and </w:t>
      </w:r>
      <w:proofErr w:type="spellStart"/>
      <w:r w:rsidR="00705D91">
        <w:t>BenMap</w:t>
      </w:r>
      <w:proofErr w:type="spellEnd"/>
      <w:r w:rsidR="00705D91">
        <w:t xml:space="preserve"> health effects</w:t>
      </w:r>
      <w:r w:rsidR="00AE09D4">
        <w:t xml:space="preserve"> modeling;</w:t>
      </w:r>
      <w:r w:rsidR="00705D91">
        <w:t xml:space="preserve"> in </w:t>
      </w:r>
      <w:r w:rsidR="00AE09D4">
        <w:t xml:space="preserve">these </w:t>
      </w:r>
      <w:r w:rsidR="00705D91">
        <w:t>case</w:t>
      </w:r>
      <w:r w:rsidR="00AE09D4">
        <w:t>s</w:t>
      </w:r>
      <w:r w:rsidR="00705D91">
        <w:t xml:space="preserve">, quantitative results will not be meaningful.  Thus, absent better direction from air districts, CEQA lead agencies will have to determine on a case by case basis whether a qualitative </w:t>
      </w:r>
      <w:r w:rsidR="002F3262">
        <w:t>discussion of health effects will suffice</w:t>
      </w:r>
      <w:r w:rsidR="00AE09D4">
        <w:t>,</w:t>
      </w:r>
      <w:r w:rsidR="002F3262">
        <w:t xml:space="preserve"> or whether regional modeling, despite its limitations</w:t>
      </w:r>
      <w:r w:rsidR="00AE09D4">
        <w:t>,</w:t>
      </w:r>
      <w:r w:rsidR="002F3262">
        <w:t xml:space="preserve"> should be conducted</w:t>
      </w:r>
      <w:r w:rsidR="00AE09D4">
        <w:t xml:space="preserve"> for the project</w:t>
      </w:r>
      <w:r w:rsidR="002F3262">
        <w:t>.</w:t>
      </w:r>
    </w:p>
    <w:p w14:paraId="3B288B2F" w14:textId="6737E5DB" w:rsidR="002F3262" w:rsidRDefault="002F3262" w:rsidP="00620A90">
      <w:pPr>
        <w:pStyle w:val="BodyText"/>
      </w:pPr>
      <w:r>
        <w:t>Where a project has substantial criteria pollutant emissions when considered on a regional scale</w:t>
      </w:r>
      <w:r w:rsidR="00AE09D4">
        <w:t>,</w:t>
      </w:r>
      <w:r>
        <w:t xml:space="preserve"> and there is reason to believe that the modeling of ambient air quality and regional health effects would </w:t>
      </w:r>
      <w:r w:rsidR="002F4303">
        <w:t xml:space="preserve">produce non-speculative results </w:t>
      </w:r>
      <w:r w:rsidR="00AE09D4">
        <w:t>when considering</w:t>
      </w:r>
      <w:r w:rsidR="002F4303">
        <w:t xml:space="preserve"> modeling uncertainties, then CEQA lead agencies should use regional modelling.</w:t>
      </w:r>
    </w:p>
    <w:p w14:paraId="75ADCE20" w14:textId="62316C57" w:rsidR="00A6416D" w:rsidRDefault="00A6416D" w:rsidP="00A6416D">
      <w:pPr>
        <w:pStyle w:val="Heading1"/>
      </w:pPr>
      <w:r>
        <w:t>Conclusion</w:t>
      </w:r>
    </w:p>
    <w:p w14:paraId="4BC105C5" w14:textId="17561045" w:rsidR="006A7557" w:rsidRDefault="00A6416D" w:rsidP="00A6416D">
      <w:pPr>
        <w:pStyle w:val="BodyText"/>
      </w:pPr>
      <w:r>
        <w:t xml:space="preserve">The purpose of CEQA is to inform the public as to the potential for a project to result in one or more significant adverse effects on the environment (including health effects). </w:t>
      </w:r>
      <w:r w:rsidR="0063608D">
        <w:t>A</w:t>
      </w:r>
      <w:r w:rsidR="009A5DBB">
        <w:t xml:space="preserve"> CEQA document</w:t>
      </w:r>
      <w:r w:rsidR="0063608D">
        <w:t xml:space="preserve"> must provide an </w:t>
      </w:r>
      <w:r w:rsidR="0063608D" w:rsidRPr="0063608D">
        <w:t xml:space="preserve">understandable and clear </w:t>
      </w:r>
      <w:r w:rsidR="00C41537">
        <w:t xml:space="preserve">environmental </w:t>
      </w:r>
      <w:r w:rsidR="004C588E">
        <w:t>analysis and</w:t>
      </w:r>
      <w:r w:rsidR="0063608D" w:rsidRPr="0063608D">
        <w:t xml:space="preserve"> </w:t>
      </w:r>
      <w:r w:rsidR="00C41537">
        <w:t xml:space="preserve">provide </w:t>
      </w:r>
      <w:r w:rsidR="0063608D" w:rsidRPr="0063608D">
        <w:t xml:space="preserve">an adequate basis for </w:t>
      </w:r>
      <w:proofErr w:type="gramStart"/>
      <w:r w:rsidR="0063608D" w:rsidRPr="0063608D">
        <w:t>decision making</w:t>
      </w:r>
      <w:proofErr w:type="gramEnd"/>
      <w:r w:rsidR="0063608D" w:rsidRPr="0063608D">
        <w:t xml:space="preserve"> and public disclosure</w:t>
      </w:r>
      <w:r w:rsidR="0063608D">
        <w:t xml:space="preserve">. </w:t>
      </w:r>
      <w:r w:rsidR="00F1494E">
        <w:t xml:space="preserve">Regional dispersion modeling </w:t>
      </w:r>
      <w:r w:rsidR="009A5DBB">
        <w:t xml:space="preserve">of criteria pollutants </w:t>
      </w:r>
      <w:r w:rsidR="00AE09D4">
        <w:t xml:space="preserve">and secondary pollutants like PM and ozone </w:t>
      </w:r>
      <w:r w:rsidR="009A5DBB">
        <w:t xml:space="preserve">can </w:t>
      </w:r>
      <w:r w:rsidR="0063608D">
        <w:t>provide additiona</w:t>
      </w:r>
      <w:r w:rsidR="0066021A">
        <w:t>l</w:t>
      </w:r>
      <w:r w:rsidR="0063608D">
        <w:t xml:space="preserve"> information</w:t>
      </w:r>
      <w:r w:rsidR="00C41537">
        <w:t>,</w:t>
      </w:r>
      <w:r w:rsidR="0063608D">
        <w:t xml:space="preserve"> </w:t>
      </w:r>
      <w:r w:rsidR="0066021A">
        <w:t>but</w:t>
      </w:r>
      <w:r w:rsidR="007E0DFD">
        <w:t xml:space="preserve"> </w:t>
      </w:r>
      <w:r w:rsidR="00523D65">
        <w:t>that information may be within the margin of modelling uncertainty and/or may not be</w:t>
      </w:r>
      <w:r w:rsidR="0066021A">
        <w:t xml:space="preserve"> meaning</w:t>
      </w:r>
      <w:r w:rsidR="00523D65">
        <w:t>ful</w:t>
      </w:r>
      <w:r w:rsidR="0066021A">
        <w:t xml:space="preserve"> </w:t>
      </w:r>
      <w:r w:rsidR="0063608D" w:rsidRPr="0063608D">
        <w:t>for</w:t>
      </w:r>
      <w:r w:rsidR="0066021A">
        <w:t xml:space="preserve"> the public and</w:t>
      </w:r>
      <w:r w:rsidR="0063608D" w:rsidRPr="0063608D">
        <w:t xml:space="preserve"> decision</w:t>
      </w:r>
      <w:r w:rsidR="0066021A">
        <w:t xml:space="preserve">-makers </w:t>
      </w:r>
      <w:r w:rsidR="00A02B11">
        <w:t>unless a  full health context is presented in the CEQA document.</w:t>
      </w:r>
      <w:r w:rsidR="00F1494E">
        <w:t xml:space="preserve"> </w:t>
      </w:r>
      <w:r w:rsidR="0066021A">
        <w:t>S</w:t>
      </w:r>
      <w:r w:rsidR="0063608D">
        <w:t xml:space="preserve">imply providing </w:t>
      </w:r>
      <w:r w:rsidR="00F70856">
        <w:t xml:space="preserve">health outcomes based on use of a regional-scale model and </w:t>
      </w:r>
      <w:proofErr w:type="spellStart"/>
      <w:r w:rsidR="00F70856">
        <w:t>BenMap</w:t>
      </w:r>
      <w:proofErr w:type="spellEnd"/>
      <w:r w:rsidR="0063608D">
        <w:t xml:space="preserve"> may not satisfy the goal to provide decision-makers and the public with information that would assist in weighting the environmental consequences of </w:t>
      </w:r>
      <w:r w:rsidR="006A7557">
        <w:t>a</w:t>
      </w:r>
      <w:r w:rsidR="0063608D">
        <w:t xml:space="preserve"> project. </w:t>
      </w:r>
      <w:r w:rsidR="0060051F">
        <w:t>A CEQA document</w:t>
      </w:r>
      <w:r w:rsidR="00F70856" w:rsidRPr="00F70856">
        <w:t xml:space="preserve"> </w:t>
      </w:r>
      <w:r w:rsidR="00F70856">
        <w:t>must provide an</w:t>
      </w:r>
      <w:r w:rsidR="00F70856" w:rsidRPr="00F70856">
        <w:t xml:space="preserve"> </w:t>
      </w:r>
      <w:r w:rsidR="00F70856">
        <w:t xml:space="preserve">analysis that is </w:t>
      </w:r>
      <w:r w:rsidR="00F70856" w:rsidRPr="00F70856">
        <w:t>understandable</w:t>
      </w:r>
      <w:r w:rsidR="00F70856">
        <w:t xml:space="preserve"> </w:t>
      </w:r>
      <w:r w:rsidR="00F70856" w:rsidRPr="00F70856">
        <w:t xml:space="preserve">for </w:t>
      </w:r>
      <w:proofErr w:type="gramStart"/>
      <w:r w:rsidR="00F70856" w:rsidRPr="00F70856">
        <w:t>decision making</w:t>
      </w:r>
      <w:proofErr w:type="gramEnd"/>
      <w:r w:rsidR="00F70856" w:rsidRPr="00F70856">
        <w:t xml:space="preserve"> and public disclosure</w:t>
      </w:r>
      <w:r w:rsidR="00F70856">
        <w:t xml:space="preserve">. Regional scale modeling may provide a technical </w:t>
      </w:r>
      <w:r w:rsidR="002C694E">
        <w:t>method for this type of analysis</w:t>
      </w:r>
      <w:r w:rsidR="00F70856">
        <w:t xml:space="preserve">, but it does not necessarily </w:t>
      </w:r>
      <w:r w:rsidR="002C694E">
        <w:t xml:space="preserve">provide a meaningful way to </w:t>
      </w:r>
      <w:r w:rsidR="00F70856">
        <w:t xml:space="preserve">connect the magnitude of </w:t>
      </w:r>
      <w:r w:rsidR="004E167F">
        <w:t>a</w:t>
      </w:r>
      <w:r w:rsidR="00F70856">
        <w:t xml:space="preserve"> project</w:t>
      </w:r>
      <w:r w:rsidR="007A7CD4">
        <w:t xml:space="preserve">’s </w:t>
      </w:r>
      <w:r w:rsidR="004E167F">
        <w:t xml:space="preserve">criteria pollutant </w:t>
      </w:r>
      <w:r w:rsidR="007A7CD4">
        <w:t>emissions</w:t>
      </w:r>
      <w:r w:rsidR="00F70856">
        <w:t xml:space="preserve"> to health effects</w:t>
      </w:r>
      <w:r w:rsidR="004E167F">
        <w:t xml:space="preserve"> without speculation</w:t>
      </w:r>
      <w:r w:rsidR="00F70856">
        <w:t xml:space="preserve">. </w:t>
      </w:r>
    </w:p>
    <w:p w14:paraId="1D6A65A7" w14:textId="45798043" w:rsidR="00154BEA" w:rsidRDefault="00F70856" w:rsidP="00A6416D">
      <w:pPr>
        <w:pStyle w:val="BodyText"/>
      </w:pPr>
      <w:proofErr w:type="gramStart"/>
      <w:r>
        <w:lastRenderedPageBreak/>
        <w:t xml:space="preserve">In order to </w:t>
      </w:r>
      <w:r w:rsidR="0077130B">
        <w:t xml:space="preserve">accurately </w:t>
      </w:r>
      <w:r>
        <w:t>connect</w:t>
      </w:r>
      <w:proofErr w:type="gramEnd"/>
      <w:r>
        <w:t xml:space="preserve"> the dots, we urge </w:t>
      </w:r>
      <w:r w:rsidR="007A7CD4">
        <w:t>California</w:t>
      </w:r>
      <w:r>
        <w:t xml:space="preserve"> air districts to provide more guidance on </w:t>
      </w:r>
      <w:r w:rsidR="007A7CD4">
        <w:t xml:space="preserve">how </w:t>
      </w:r>
      <w:r w:rsidR="00676D20">
        <w:t xml:space="preserve">to identify and describe the health effects of exceeding </w:t>
      </w:r>
      <w:r>
        <w:t xml:space="preserve">regional </w:t>
      </w:r>
      <w:r w:rsidR="00676D20">
        <w:t xml:space="preserve">criteria pollutant </w:t>
      </w:r>
      <w:r>
        <w:t xml:space="preserve">thresholds. </w:t>
      </w:r>
      <w:r w:rsidR="00A6416D">
        <w:t xml:space="preserve">The </w:t>
      </w:r>
      <w:r w:rsidR="009B52DA">
        <w:t>a</w:t>
      </w:r>
      <w:r w:rsidR="00A6416D">
        <w:t xml:space="preserve">ir </w:t>
      </w:r>
      <w:r w:rsidR="009B52DA">
        <w:t>d</w:t>
      </w:r>
      <w:r w:rsidR="00A6416D">
        <w:t xml:space="preserve">istricts are the primary agency responsible for ensuring that the </w:t>
      </w:r>
      <w:r w:rsidR="00C41537">
        <w:t>a</w:t>
      </w:r>
      <w:r w:rsidR="00A6416D">
        <w:t xml:space="preserve">ir </w:t>
      </w:r>
      <w:r w:rsidR="00C41537">
        <w:t>b</w:t>
      </w:r>
      <w:r w:rsidR="00A6416D">
        <w:t>asins attain the AAQS and ensure the health and welfare of its residents</w:t>
      </w:r>
      <w:r w:rsidR="00BA6110">
        <w:t xml:space="preserve"> relative to air quality</w:t>
      </w:r>
      <w:r w:rsidR="00A6416D">
        <w:t xml:space="preserve">. Because emissions forecasting and health outcomes </w:t>
      </w:r>
      <w:proofErr w:type="gramStart"/>
      <w:r w:rsidR="007A7CD4">
        <w:t xml:space="preserve">are </w:t>
      </w:r>
      <w:r w:rsidR="00A6416D">
        <w:t>based</w:t>
      </w:r>
      <w:proofErr w:type="gramEnd"/>
      <w:r w:rsidR="00A6416D">
        <w:t xml:space="preserve"> on the regional growth projections to achieve the AAQS is under the purview of the air districts, it should fall on the </w:t>
      </w:r>
      <w:r w:rsidR="00B07B12">
        <w:t>a</w:t>
      </w:r>
      <w:r w:rsidR="00A6416D">
        <w:t xml:space="preserve">ir </w:t>
      </w:r>
      <w:r w:rsidR="00B07B12">
        <w:t>d</w:t>
      </w:r>
      <w:r w:rsidR="00A6416D">
        <w:t>istricts to identify the potential health outcomes associated with exceeding the CEQA thresholds for projects.</w:t>
      </w:r>
      <w:r w:rsidR="007B572C">
        <w:t xml:space="preserve"> The air districts should provide lead agencies</w:t>
      </w:r>
      <w:r w:rsidR="007B572C" w:rsidRPr="007B572C">
        <w:t xml:space="preserve"> with a consistent, reliable, and meaningful analy</w:t>
      </w:r>
      <w:r w:rsidR="00BA6110">
        <w:t>tical approach</w:t>
      </w:r>
      <w:r w:rsidR="007B572C" w:rsidRPr="007B572C">
        <w:t xml:space="preserve"> to correlate specific health </w:t>
      </w:r>
      <w:r w:rsidR="0086263D">
        <w:t>effects</w:t>
      </w:r>
      <w:r w:rsidR="0086263D" w:rsidRPr="007B572C">
        <w:t xml:space="preserve"> </w:t>
      </w:r>
      <w:r w:rsidR="007B572C" w:rsidRPr="007B572C">
        <w:t xml:space="preserve">that may result from a project’s </w:t>
      </w:r>
      <w:r w:rsidR="00BA6110">
        <w:t>criteria pollutant</w:t>
      </w:r>
      <w:r w:rsidR="007B572C" w:rsidRPr="007B572C">
        <w:t xml:space="preserve"> emissions</w:t>
      </w:r>
      <w:r w:rsidR="007B572C">
        <w:t xml:space="preserve">. </w:t>
      </w:r>
    </w:p>
    <w:p w14:paraId="49E754F7" w14:textId="355D8ABE" w:rsidR="00154BEA" w:rsidRDefault="00B1216E" w:rsidP="00154BEA">
      <w:pPr>
        <w:pStyle w:val="Heading1"/>
      </w:pPr>
      <w:r>
        <w:t>Glossary</w:t>
      </w:r>
    </w:p>
    <w:p w14:paraId="478986D6" w14:textId="2CFC22CA" w:rsidR="00F20E1F" w:rsidRDefault="00F20E1F" w:rsidP="00154BEA">
      <w:pPr>
        <w:pStyle w:val="BodyText"/>
      </w:pPr>
      <w:r>
        <w:t>AAQS – Ambient Air Quality Standards</w:t>
      </w:r>
    </w:p>
    <w:p w14:paraId="757BD1BF" w14:textId="66471212" w:rsidR="0000383B" w:rsidRDefault="0000383B" w:rsidP="00154BEA">
      <w:pPr>
        <w:pStyle w:val="BodyText"/>
      </w:pPr>
      <w:proofErr w:type="spellStart"/>
      <w:r>
        <w:t>BenMap</w:t>
      </w:r>
      <w:proofErr w:type="spellEnd"/>
      <w:r>
        <w:t xml:space="preserve"> – </w:t>
      </w:r>
      <w:r w:rsidRPr="0000383B">
        <w:t>Benefits Mapping and Analysis Program</w:t>
      </w:r>
    </w:p>
    <w:p w14:paraId="016307F1" w14:textId="613A5AA9" w:rsidR="00154BEA" w:rsidRDefault="00154BEA" w:rsidP="00154BEA">
      <w:pPr>
        <w:pStyle w:val="BodyText"/>
      </w:pPr>
      <w:proofErr w:type="spellStart"/>
      <w:r>
        <w:t>CAMx</w:t>
      </w:r>
      <w:proofErr w:type="spellEnd"/>
      <w:r>
        <w:t xml:space="preserve"> – Comprehensive Air </w:t>
      </w:r>
      <w:r w:rsidR="0000383B">
        <w:t>Q</w:t>
      </w:r>
      <w:r>
        <w:t>uality Model with extensions</w:t>
      </w:r>
    </w:p>
    <w:p w14:paraId="4EFDE5B8" w14:textId="3C96C0DC" w:rsidR="00A6416D" w:rsidRDefault="00154BEA" w:rsidP="00154BEA">
      <w:pPr>
        <w:pStyle w:val="BodyText"/>
      </w:pPr>
      <w:r>
        <w:t xml:space="preserve">CMAQ – Community Multiscale Air Quality </w:t>
      </w:r>
    </w:p>
    <w:p w14:paraId="14121C07" w14:textId="764FA339" w:rsidR="00076C32" w:rsidRDefault="00076C32" w:rsidP="00154BEA">
      <w:pPr>
        <w:pStyle w:val="BodyText"/>
      </w:pPr>
      <w:r>
        <w:t>NOx – Nitrogen Oxides</w:t>
      </w:r>
    </w:p>
    <w:p w14:paraId="019AE080" w14:textId="0B6BC712" w:rsidR="00076C32" w:rsidRDefault="00076C32" w:rsidP="00154BEA">
      <w:pPr>
        <w:pStyle w:val="BodyText"/>
      </w:pPr>
      <w:r>
        <w:t>PM – Particulate Matter</w:t>
      </w:r>
    </w:p>
    <w:p w14:paraId="40C0AED8" w14:textId="4129EC2C" w:rsidR="0000383B" w:rsidRDefault="0000383B" w:rsidP="00154BEA">
      <w:pPr>
        <w:pStyle w:val="BodyText"/>
      </w:pPr>
      <w:proofErr w:type="spellStart"/>
      <w:r>
        <w:t>SOx</w:t>
      </w:r>
      <w:proofErr w:type="spellEnd"/>
      <w:r>
        <w:t xml:space="preserve"> – Sulfur Oxides </w:t>
      </w:r>
    </w:p>
    <w:p w14:paraId="365303DD" w14:textId="3FD2F740" w:rsidR="0000383B" w:rsidRDefault="0000383B" w:rsidP="00154BEA">
      <w:pPr>
        <w:pStyle w:val="BodyText"/>
      </w:pPr>
      <w:r>
        <w:t>State – California</w:t>
      </w:r>
    </w:p>
    <w:p w14:paraId="7D88A69E" w14:textId="1221D0C6" w:rsidR="00B1216E" w:rsidRPr="001411EB" w:rsidRDefault="00B1216E" w:rsidP="00154BEA">
      <w:pPr>
        <w:pStyle w:val="BodyText"/>
      </w:pPr>
      <w:r>
        <w:t>USEPA – United States Environmental Protection Agency</w:t>
      </w:r>
    </w:p>
    <w:sectPr w:rsidR="00B1216E" w:rsidRPr="001411EB" w:rsidSect="00C71ACA">
      <w:footerReference w:type="default" r:id="rId11"/>
      <w:headerReference w:type="first" r:id="rId12"/>
      <w:pgSz w:w="12240" w:h="15840" w:code="1"/>
      <w:pgMar w:top="2160" w:right="1800" w:bottom="1440"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412CD" w16cid:durableId="21BB46D7"/>
  <w16cid:commentId w16cid:paraId="158789AF" w16cid:durableId="21BB5049"/>
  <w16cid:commentId w16cid:paraId="53DFAE25" w16cid:durableId="21BB46D8"/>
  <w16cid:commentId w16cid:paraId="48E1F71C" w16cid:durableId="21BB50F3"/>
  <w16cid:commentId w16cid:paraId="0AE3EC40" w16cid:durableId="21BB46D9"/>
  <w16cid:commentId w16cid:paraId="148E173F" w16cid:durableId="21BB512F"/>
  <w16cid:commentId w16cid:paraId="476B84B4" w16cid:durableId="21BB46DA"/>
  <w16cid:commentId w16cid:paraId="63C603A5" w16cid:durableId="21BB5137"/>
  <w16cid:commentId w16cid:paraId="01A1BDEC" w16cid:durableId="21BB48CA"/>
  <w16cid:commentId w16cid:paraId="61A27A8D" w16cid:durableId="21BB46DB"/>
  <w16cid:commentId w16cid:paraId="0BB83056" w16cid:durableId="21BB514D"/>
  <w16cid:commentId w16cid:paraId="320C7B8C" w16cid:durableId="21BB46DC"/>
  <w16cid:commentId w16cid:paraId="160D3498" w16cid:durableId="21BB5181"/>
  <w16cid:commentId w16cid:paraId="63483F06" w16cid:durableId="21BB4B26"/>
  <w16cid:commentId w16cid:paraId="45368113" w16cid:durableId="21BB46DD"/>
  <w16cid:commentId w16cid:paraId="308D4634" w16cid:durableId="21BB51BC"/>
  <w16cid:commentId w16cid:paraId="4861485D" w16cid:durableId="21B5CAB9"/>
  <w16cid:commentId w16cid:paraId="1AFB1E9C" w16cid:durableId="21BB51E1"/>
  <w16cid:commentId w16cid:paraId="7B72ADC0" w16cid:durableId="21BB46DF"/>
  <w16cid:commentId w16cid:paraId="2E37CC42" w16cid:durableId="21BB51EE"/>
  <w16cid:commentId w16cid:paraId="2AF07640" w16cid:durableId="21BB4C09"/>
  <w16cid:commentId w16cid:paraId="43FBFE1C" w16cid:durableId="21BB46E0"/>
  <w16cid:commentId w16cid:paraId="315F6D9D" w16cid:durableId="21BB520E"/>
  <w16cid:commentId w16cid:paraId="3B3BD268" w16cid:durableId="21BB4C54"/>
  <w16cid:commentId w16cid:paraId="2B24A9FC" w16cid:durableId="21BB46E1"/>
  <w16cid:commentId w16cid:paraId="3B1733B0" w16cid:durableId="21BB52C1"/>
  <w16cid:commentId w16cid:paraId="12642E6B" w16cid:durableId="21BB46E2"/>
  <w16cid:commentId w16cid:paraId="735388E1" w16cid:durableId="21BB52F3"/>
  <w16cid:commentId w16cid:paraId="4E9B8247" w16cid:durableId="21BB46E3"/>
  <w16cid:commentId w16cid:paraId="65F68B7A" w16cid:durableId="21BB538E"/>
  <w16cid:commentId w16cid:paraId="4632725E" w16cid:durableId="21BB46E4"/>
  <w16cid:commentId w16cid:paraId="150C0AC1" w16cid:durableId="21BB53DE"/>
  <w16cid:commentId w16cid:paraId="015291CD" w16cid:durableId="21BB46E5"/>
  <w16cid:commentId w16cid:paraId="641A016F" w16cid:durableId="21BB46E6"/>
  <w16cid:commentId w16cid:paraId="040BD88B" w16cid:durableId="21BB53FC"/>
  <w16cid:commentId w16cid:paraId="0AD620A9" w16cid:durableId="21BB46E7"/>
  <w16cid:commentId w16cid:paraId="01C239CF" w16cid:durableId="21BB5407"/>
  <w16cid:commentId w16cid:paraId="41DF1BB8" w16cid:durableId="21BB4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F5F5" w14:textId="77777777" w:rsidR="00300281" w:rsidRDefault="00300281" w:rsidP="00E40088">
      <w:r>
        <w:separator/>
      </w:r>
    </w:p>
    <w:p w14:paraId="71E8AF5D" w14:textId="77777777" w:rsidR="00300281" w:rsidRDefault="00300281"/>
  </w:endnote>
  <w:endnote w:type="continuationSeparator" w:id="0">
    <w:p w14:paraId="39A28064" w14:textId="77777777" w:rsidR="00300281" w:rsidRDefault="00300281" w:rsidP="00E40088">
      <w:r>
        <w:continuationSeparator/>
      </w:r>
    </w:p>
    <w:p w14:paraId="2A2444B6" w14:textId="77777777" w:rsidR="00300281" w:rsidRDefault="00300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Humnst BT">
    <w:altName w:val="Microsoft YaHei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A076" w14:textId="481559B0" w:rsidR="00C71ACA" w:rsidRDefault="00C71ACA" w:rsidP="00C71ACA">
    <w:pPr>
      <w:pStyle w:val="Ltr-Footer"/>
    </w:pPr>
    <w:r>
      <w:t xml:space="preserve">[Date] | </w:t>
    </w:r>
    <w:r w:rsidRPr="00644F50">
      <w:t xml:space="preserve">Page </w:t>
    </w:r>
    <w:r w:rsidRPr="00644F50">
      <w:fldChar w:fldCharType="begin"/>
    </w:r>
    <w:r w:rsidRPr="00644F50">
      <w:instrText xml:space="preserve"> PAGE </w:instrText>
    </w:r>
    <w:r w:rsidRPr="00644F50">
      <w:fldChar w:fldCharType="separate"/>
    </w:r>
    <w:r w:rsidR="00E732E8">
      <w:rPr>
        <w:noProof/>
      </w:rPr>
      <w:t>5</w:t>
    </w:r>
    <w:r w:rsidRPr="00644F50">
      <w:fldChar w:fldCharType="end"/>
    </w:r>
  </w:p>
  <w:p w14:paraId="3EF69107" w14:textId="77777777" w:rsidR="003A3775" w:rsidRDefault="003A37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EF65" w14:textId="77777777" w:rsidR="00300281" w:rsidRDefault="00300281" w:rsidP="00E40088">
      <w:r>
        <w:separator/>
      </w:r>
    </w:p>
    <w:p w14:paraId="7F5DB7DA" w14:textId="77777777" w:rsidR="00300281" w:rsidRDefault="00300281"/>
  </w:footnote>
  <w:footnote w:type="continuationSeparator" w:id="0">
    <w:p w14:paraId="7BB3A993" w14:textId="77777777" w:rsidR="00300281" w:rsidRDefault="00300281" w:rsidP="00E40088">
      <w:r>
        <w:continuationSeparator/>
      </w:r>
    </w:p>
    <w:p w14:paraId="367D657D" w14:textId="77777777" w:rsidR="00300281" w:rsidRDefault="00300281"/>
  </w:footnote>
  <w:footnote w:id="1">
    <w:p w14:paraId="0BFED964" w14:textId="10DDCDF3" w:rsidR="0018501E" w:rsidRDefault="0018501E" w:rsidP="002E5ADD">
      <w:pPr>
        <w:pStyle w:val="TableSourceFootnote"/>
      </w:pPr>
      <w:r>
        <w:rPr>
          <w:rStyle w:val="FootnoteReference"/>
        </w:rPr>
        <w:footnoteRef/>
      </w:r>
      <w:r>
        <w:t xml:space="preserve"> </w:t>
      </w:r>
      <w:proofErr w:type="spellStart"/>
      <w:r w:rsidRPr="00AF5A76">
        <w:t>BenMap</w:t>
      </w:r>
      <w:proofErr w:type="spellEnd"/>
      <w:r w:rsidRPr="00AF5A76">
        <w:t xml:space="preserve"> assigns prevalence rate for asthma and other health effects based on indicators such as gender, race, age, ethnicity, etc. The </w:t>
      </w:r>
      <w:proofErr w:type="spellStart"/>
      <w:r w:rsidRPr="00AF5A76">
        <w:t>BenMap</w:t>
      </w:r>
      <w:proofErr w:type="spellEnd"/>
      <w:r w:rsidRPr="00AF5A76">
        <w:t xml:space="preserve"> user manual specifically states that there are </w:t>
      </w:r>
      <w:proofErr w:type="gramStart"/>
      <w:r w:rsidRPr="00AF5A76">
        <w:t>a wide range</w:t>
      </w:r>
      <w:proofErr w:type="gramEnd"/>
      <w:r w:rsidRPr="00AF5A76">
        <w:t xml:space="preserve"> of variables that can be included in the health </w:t>
      </w:r>
      <w:r w:rsidR="0062323F">
        <w:t>effect</w:t>
      </w:r>
      <w:r w:rsidRPr="00AF5A76">
        <w:t xml:space="preserve"> function. The health </w:t>
      </w:r>
      <w:r w:rsidR="0062323F">
        <w:t>effect</w:t>
      </w:r>
      <w:r w:rsidRPr="00AF5A76">
        <w:t xml:space="preserve"> function was developed based on epidemiological studies, and specifically </w:t>
      </w:r>
      <w:proofErr w:type="gramStart"/>
      <w:r w:rsidRPr="00AF5A76">
        <w:t>states that</w:t>
      </w:r>
      <w:proofErr w:type="gramEnd"/>
      <w:r w:rsidRPr="00AF5A76">
        <w:t xml:space="preserve"> “there are a number of issues that arise when deriving and choosing between health </w:t>
      </w:r>
      <w:r w:rsidR="0062323F">
        <w:t>effect</w:t>
      </w:r>
      <w:r w:rsidRPr="00AF5A76">
        <w:t xml:space="preserve"> functions that go well beyond this user manual. Hence, it is important to have a trained health researcher assist in developing the impact function data file.”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FA01" w14:textId="0366B57E" w:rsidR="00295757" w:rsidRDefault="001F5DC8" w:rsidP="001F5DC8">
    <w:pPr>
      <w:pStyle w:val="Header"/>
      <w:jc w:val="center"/>
      <w:rPr>
        <w:rFonts w:ascii="Century Gothic" w:hAnsi="Century Gothic"/>
        <w:sz w:val="36"/>
        <w:szCs w:val="36"/>
      </w:rPr>
    </w:pPr>
    <w:r w:rsidRPr="001F5DC8">
      <w:rPr>
        <w:rFonts w:ascii="Century Gothic" w:hAnsi="Century Gothic"/>
        <w:sz w:val="36"/>
        <w:szCs w:val="36"/>
      </w:rPr>
      <w:t>We Can Model Regional Emissions, But Are the Results Meaningful for CEQA?</w:t>
    </w:r>
  </w:p>
  <w:p w14:paraId="164D50B5" w14:textId="2BF9ACD6" w:rsidR="00E732E8" w:rsidRDefault="00E732E8" w:rsidP="001F5DC8">
    <w:pPr>
      <w:pStyle w:val="Header"/>
      <w:jc w:val="center"/>
      <w:rPr>
        <w:rFonts w:ascii="Century Gothic" w:hAnsi="Century Gothic"/>
        <w:szCs w:val="20"/>
      </w:rPr>
    </w:pPr>
  </w:p>
  <w:p w14:paraId="24686569" w14:textId="5A7DFFDB" w:rsidR="00E732E8" w:rsidRPr="00E732E8" w:rsidRDefault="00E732E8" w:rsidP="001F5DC8">
    <w:pPr>
      <w:pStyle w:val="Header"/>
      <w:jc w:val="center"/>
      <w:rPr>
        <w:rFonts w:ascii="Century Gothic" w:hAnsi="Century Gothic"/>
        <w:szCs w:val="20"/>
      </w:rPr>
    </w:pPr>
    <w:r>
      <w:rPr>
        <w:rFonts w:ascii="Century Gothic" w:hAnsi="Century Gothic"/>
        <w:szCs w:val="20"/>
      </w:rPr>
      <w:t>Authors:  AEP Climate Change Committee (Michael Hendrix, Dave Mitchell, Haseeb Qureshi, Jennifer Reed, Brian Schuster, Nicole Vermilion, and Rich Walters)</w:t>
    </w:r>
  </w:p>
  <w:p w14:paraId="5BF3F1B1" w14:textId="77777777" w:rsidR="00E732E8" w:rsidRDefault="00E732E8" w:rsidP="001F5D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14C"/>
    <w:multiLevelType w:val="hybridMultilevel"/>
    <w:tmpl w:val="8F66AF3E"/>
    <w:lvl w:ilvl="0" w:tplc="F4FC3138">
      <w:start w:val="1"/>
      <w:numFmt w:val="bullet"/>
      <w:lvlText w:val=""/>
      <w:lvlJc w:val="left"/>
      <w:pPr>
        <w:tabs>
          <w:tab w:val="num" w:pos="216"/>
        </w:tabs>
        <w:ind w:left="216" w:hanging="216"/>
      </w:pPr>
      <w:rPr>
        <w:rFonts w:ascii="Wingdings" w:hAnsi="Wingdings" w:hint="default"/>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515702"/>
    <w:multiLevelType w:val="hybridMultilevel"/>
    <w:tmpl w:val="B916FB94"/>
    <w:lvl w:ilvl="0" w:tplc="DACA2402">
      <w:start w:val="1"/>
      <w:numFmt w:val="bullet"/>
      <w:pStyle w:val="Bullet1"/>
      <w:lvlText w:val="»"/>
      <w:lvlJc w:val="left"/>
      <w:pPr>
        <w:ind w:left="360" w:hanging="360"/>
      </w:pPr>
      <w:rPr>
        <w:rFonts w:ascii="ZapfHumnst BT" w:hAnsi="ZapfHumnst B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322BB"/>
    <w:multiLevelType w:val="hybridMultilevel"/>
    <w:tmpl w:val="8318B834"/>
    <w:lvl w:ilvl="0" w:tplc="26D62E5A">
      <w:start w:val="1"/>
      <w:numFmt w:val="bullet"/>
      <w:pStyle w:val="Bullet2Last"/>
      <w:lvlText w:val=""/>
      <w:lvlJc w:val="left"/>
      <w:pPr>
        <w:ind w:left="576"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C4979"/>
    <w:multiLevelType w:val="hybridMultilevel"/>
    <w:tmpl w:val="4D8AF5DA"/>
    <w:lvl w:ilvl="0" w:tplc="64AA636A">
      <w:start w:val="1"/>
      <w:numFmt w:val="bullet"/>
      <w:pStyle w:val="Bullet2"/>
      <w:lvlText w:val=""/>
      <w:lvlJc w:val="left"/>
      <w:pPr>
        <w:ind w:left="576"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C3E50"/>
    <w:multiLevelType w:val="hybridMultilevel"/>
    <w:tmpl w:val="9EF6C1FC"/>
    <w:lvl w:ilvl="0" w:tplc="1E3A1C16">
      <w:start w:val="1"/>
      <w:numFmt w:val="bullet"/>
      <w:pStyle w:val="Bullet1Last"/>
      <w:lvlText w:val="»"/>
      <w:lvlJc w:val="left"/>
      <w:pPr>
        <w:ind w:left="720" w:hanging="360"/>
      </w:pPr>
      <w:rPr>
        <w:rFonts w:ascii="ZapfHumnst BT" w:hAnsi="ZapfHumnst B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CC"/>
    <w:rsid w:val="000024C0"/>
    <w:rsid w:val="00002B15"/>
    <w:rsid w:val="0000383B"/>
    <w:rsid w:val="00010101"/>
    <w:rsid w:val="00017AEA"/>
    <w:rsid w:val="00031C0B"/>
    <w:rsid w:val="00037145"/>
    <w:rsid w:val="00050A52"/>
    <w:rsid w:val="00051D8B"/>
    <w:rsid w:val="00063CC8"/>
    <w:rsid w:val="00076C32"/>
    <w:rsid w:val="000901A0"/>
    <w:rsid w:val="00092745"/>
    <w:rsid w:val="000B60B6"/>
    <w:rsid w:val="000B7B12"/>
    <w:rsid w:val="000C2BAF"/>
    <w:rsid w:val="000E0DF7"/>
    <w:rsid w:val="000E2D97"/>
    <w:rsid w:val="000F3728"/>
    <w:rsid w:val="000F4C38"/>
    <w:rsid w:val="000F6235"/>
    <w:rsid w:val="001168C7"/>
    <w:rsid w:val="001411EB"/>
    <w:rsid w:val="0014311A"/>
    <w:rsid w:val="00150D5F"/>
    <w:rsid w:val="00151F01"/>
    <w:rsid w:val="00154BEA"/>
    <w:rsid w:val="00170062"/>
    <w:rsid w:val="001742D8"/>
    <w:rsid w:val="00182158"/>
    <w:rsid w:val="0018501E"/>
    <w:rsid w:val="001877A1"/>
    <w:rsid w:val="00195884"/>
    <w:rsid w:val="001A743B"/>
    <w:rsid w:val="001C38E0"/>
    <w:rsid w:val="001D4B64"/>
    <w:rsid w:val="001F2C51"/>
    <w:rsid w:val="001F36E1"/>
    <w:rsid w:val="001F5DC8"/>
    <w:rsid w:val="00225473"/>
    <w:rsid w:val="00244AD2"/>
    <w:rsid w:val="00250BC0"/>
    <w:rsid w:val="002557D9"/>
    <w:rsid w:val="0026702C"/>
    <w:rsid w:val="002679AD"/>
    <w:rsid w:val="00283139"/>
    <w:rsid w:val="00284B92"/>
    <w:rsid w:val="00295757"/>
    <w:rsid w:val="002A533F"/>
    <w:rsid w:val="002B6BAF"/>
    <w:rsid w:val="002B7C99"/>
    <w:rsid w:val="002C694E"/>
    <w:rsid w:val="002E5ADD"/>
    <w:rsid w:val="002F3262"/>
    <w:rsid w:val="002F4303"/>
    <w:rsid w:val="00300281"/>
    <w:rsid w:val="00314068"/>
    <w:rsid w:val="00323972"/>
    <w:rsid w:val="003253C3"/>
    <w:rsid w:val="00353860"/>
    <w:rsid w:val="003671EF"/>
    <w:rsid w:val="00370A39"/>
    <w:rsid w:val="00376BBC"/>
    <w:rsid w:val="003913BE"/>
    <w:rsid w:val="003A3775"/>
    <w:rsid w:val="003B09C3"/>
    <w:rsid w:val="003C02A7"/>
    <w:rsid w:val="003C548B"/>
    <w:rsid w:val="003C5CEB"/>
    <w:rsid w:val="003E300F"/>
    <w:rsid w:val="003E659B"/>
    <w:rsid w:val="003F51AE"/>
    <w:rsid w:val="003F5937"/>
    <w:rsid w:val="00407B5F"/>
    <w:rsid w:val="004175E8"/>
    <w:rsid w:val="004232BE"/>
    <w:rsid w:val="00424B95"/>
    <w:rsid w:val="00446A21"/>
    <w:rsid w:val="00487DAC"/>
    <w:rsid w:val="004937C1"/>
    <w:rsid w:val="00495E3D"/>
    <w:rsid w:val="004A1679"/>
    <w:rsid w:val="004C41AB"/>
    <w:rsid w:val="004C588E"/>
    <w:rsid w:val="004C739E"/>
    <w:rsid w:val="004D43C1"/>
    <w:rsid w:val="004D4BF2"/>
    <w:rsid w:val="004E167F"/>
    <w:rsid w:val="004E3D90"/>
    <w:rsid w:val="004F17C7"/>
    <w:rsid w:val="00507F13"/>
    <w:rsid w:val="00523D65"/>
    <w:rsid w:val="00531614"/>
    <w:rsid w:val="005461C5"/>
    <w:rsid w:val="00557E23"/>
    <w:rsid w:val="00563F79"/>
    <w:rsid w:val="00582E40"/>
    <w:rsid w:val="005A7887"/>
    <w:rsid w:val="005B45B7"/>
    <w:rsid w:val="005B7BE9"/>
    <w:rsid w:val="005D0DC4"/>
    <w:rsid w:val="005D2378"/>
    <w:rsid w:val="005D48C3"/>
    <w:rsid w:val="005F1E74"/>
    <w:rsid w:val="0060051F"/>
    <w:rsid w:val="00602FC9"/>
    <w:rsid w:val="00604659"/>
    <w:rsid w:val="00620A90"/>
    <w:rsid w:val="0062323F"/>
    <w:rsid w:val="00624E13"/>
    <w:rsid w:val="006340CF"/>
    <w:rsid w:val="0063608D"/>
    <w:rsid w:val="00653AAB"/>
    <w:rsid w:val="00656131"/>
    <w:rsid w:val="0066021A"/>
    <w:rsid w:val="00666742"/>
    <w:rsid w:val="0067588D"/>
    <w:rsid w:val="00676D20"/>
    <w:rsid w:val="006830BB"/>
    <w:rsid w:val="006A7557"/>
    <w:rsid w:val="006B439D"/>
    <w:rsid w:val="006B4933"/>
    <w:rsid w:val="006F2DCD"/>
    <w:rsid w:val="00705D91"/>
    <w:rsid w:val="00714F44"/>
    <w:rsid w:val="00720B19"/>
    <w:rsid w:val="00721F25"/>
    <w:rsid w:val="00726597"/>
    <w:rsid w:val="00733EAA"/>
    <w:rsid w:val="007570D1"/>
    <w:rsid w:val="0076414A"/>
    <w:rsid w:val="0077130B"/>
    <w:rsid w:val="00792929"/>
    <w:rsid w:val="007A422B"/>
    <w:rsid w:val="007A7CD4"/>
    <w:rsid w:val="007B1E4E"/>
    <w:rsid w:val="007B572C"/>
    <w:rsid w:val="007D1B5A"/>
    <w:rsid w:val="007D665C"/>
    <w:rsid w:val="007E0DFD"/>
    <w:rsid w:val="007F0847"/>
    <w:rsid w:val="00801F74"/>
    <w:rsid w:val="00802E39"/>
    <w:rsid w:val="0080621D"/>
    <w:rsid w:val="00806DF4"/>
    <w:rsid w:val="00810413"/>
    <w:rsid w:val="0081616F"/>
    <w:rsid w:val="008418D0"/>
    <w:rsid w:val="00852C85"/>
    <w:rsid w:val="008530A0"/>
    <w:rsid w:val="0086247E"/>
    <w:rsid w:val="0086263D"/>
    <w:rsid w:val="0086637E"/>
    <w:rsid w:val="00872AAD"/>
    <w:rsid w:val="00881674"/>
    <w:rsid w:val="00892183"/>
    <w:rsid w:val="008A2E2F"/>
    <w:rsid w:val="008E662F"/>
    <w:rsid w:val="008F5584"/>
    <w:rsid w:val="00912D37"/>
    <w:rsid w:val="00934D82"/>
    <w:rsid w:val="00936019"/>
    <w:rsid w:val="0093668A"/>
    <w:rsid w:val="009539CC"/>
    <w:rsid w:val="00954AFB"/>
    <w:rsid w:val="00955408"/>
    <w:rsid w:val="009625B4"/>
    <w:rsid w:val="0096422C"/>
    <w:rsid w:val="00987821"/>
    <w:rsid w:val="009A5DBB"/>
    <w:rsid w:val="009A5F8E"/>
    <w:rsid w:val="009B0934"/>
    <w:rsid w:val="009B12AE"/>
    <w:rsid w:val="009B20E6"/>
    <w:rsid w:val="009B42CC"/>
    <w:rsid w:val="009B52DA"/>
    <w:rsid w:val="009E391A"/>
    <w:rsid w:val="009F23D0"/>
    <w:rsid w:val="00A02B11"/>
    <w:rsid w:val="00A055E7"/>
    <w:rsid w:val="00A204EB"/>
    <w:rsid w:val="00A368C2"/>
    <w:rsid w:val="00A41ECE"/>
    <w:rsid w:val="00A568FE"/>
    <w:rsid w:val="00A60F54"/>
    <w:rsid w:val="00A6416D"/>
    <w:rsid w:val="00A77B70"/>
    <w:rsid w:val="00A96FD5"/>
    <w:rsid w:val="00AC0CF3"/>
    <w:rsid w:val="00AD6B92"/>
    <w:rsid w:val="00AE09D4"/>
    <w:rsid w:val="00AE142B"/>
    <w:rsid w:val="00AE1EB7"/>
    <w:rsid w:val="00AF4D1A"/>
    <w:rsid w:val="00AF5A76"/>
    <w:rsid w:val="00B07B12"/>
    <w:rsid w:val="00B1216E"/>
    <w:rsid w:val="00B46685"/>
    <w:rsid w:val="00B51C7F"/>
    <w:rsid w:val="00B60323"/>
    <w:rsid w:val="00B87330"/>
    <w:rsid w:val="00BA6110"/>
    <w:rsid w:val="00BC635C"/>
    <w:rsid w:val="00BD45F6"/>
    <w:rsid w:val="00BE6F39"/>
    <w:rsid w:val="00BF1AE8"/>
    <w:rsid w:val="00BF6945"/>
    <w:rsid w:val="00BF6CA8"/>
    <w:rsid w:val="00C06920"/>
    <w:rsid w:val="00C3022B"/>
    <w:rsid w:val="00C37A53"/>
    <w:rsid w:val="00C41537"/>
    <w:rsid w:val="00C424FB"/>
    <w:rsid w:val="00C43C01"/>
    <w:rsid w:val="00C44B08"/>
    <w:rsid w:val="00C50FEF"/>
    <w:rsid w:val="00C53BCA"/>
    <w:rsid w:val="00C55932"/>
    <w:rsid w:val="00C62255"/>
    <w:rsid w:val="00C6742C"/>
    <w:rsid w:val="00C71ACA"/>
    <w:rsid w:val="00CB4202"/>
    <w:rsid w:val="00CE06E4"/>
    <w:rsid w:val="00CE18AF"/>
    <w:rsid w:val="00CE7E8C"/>
    <w:rsid w:val="00CF443F"/>
    <w:rsid w:val="00D13369"/>
    <w:rsid w:val="00D26334"/>
    <w:rsid w:val="00D56CFD"/>
    <w:rsid w:val="00D81EB2"/>
    <w:rsid w:val="00E0721E"/>
    <w:rsid w:val="00E112E0"/>
    <w:rsid w:val="00E23639"/>
    <w:rsid w:val="00E24BB4"/>
    <w:rsid w:val="00E40088"/>
    <w:rsid w:val="00E42978"/>
    <w:rsid w:val="00E54B3D"/>
    <w:rsid w:val="00E62258"/>
    <w:rsid w:val="00E67AA7"/>
    <w:rsid w:val="00E70E22"/>
    <w:rsid w:val="00E732E8"/>
    <w:rsid w:val="00E87A52"/>
    <w:rsid w:val="00E900DA"/>
    <w:rsid w:val="00E94CF8"/>
    <w:rsid w:val="00EA10FC"/>
    <w:rsid w:val="00EA4F21"/>
    <w:rsid w:val="00EC5380"/>
    <w:rsid w:val="00EC7E00"/>
    <w:rsid w:val="00EE018F"/>
    <w:rsid w:val="00EE74F4"/>
    <w:rsid w:val="00EE7DDF"/>
    <w:rsid w:val="00F00B70"/>
    <w:rsid w:val="00F02169"/>
    <w:rsid w:val="00F1494E"/>
    <w:rsid w:val="00F163CC"/>
    <w:rsid w:val="00F20E1F"/>
    <w:rsid w:val="00F27D85"/>
    <w:rsid w:val="00F31EC4"/>
    <w:rsid w:val="00F54D30"/>
    <w:rsid w:val="00F70856"/>
    <w:rsid w:val="00F71C77"/>
    <w:rsid w:val="00F96EEE"/>
    <w:rsid w:val="00F97025"/>
    <w:rsid w:val="00FA5C1F"/>
    <w:rsid w:val="00FB3961"/>
    <w:rsid w:val="00FD20E7"/>
    <w:rsid w:val="00FD3330"/>
    <w:rsid w:val="00FE2E4B"/>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B1DC9"/>
  <w15:docId w15:val="{41358529-91BC-4CDF-8D6B-9123735B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74"/>
    <w:rPr>
      <w:rFonts w:ascii="Calibri Light" w:hAnsi="Calibri Light"/>
      <w:szCs w:val="24"/>
    </w:rPr>
  </w:style>
  <w:style w:type="paragraph" w:styleId="Heading1">
    <w:name w:val="heading 1"/>
    <w:basedOn w:val="Normal"/>
    <w:next w:val="Normal"/>
    <w:link w:val="Heading1Char"/>
    <w:qFormat/>
    <w:rsid w:val="00F54D30"/>
    <w:pPr>
      <w:keepNext/>
      <w:spacing w:before="240" w:after="60"/>
      <w:outlineLvl w:val="0"/>
    </w:pPr>
    <w:rPr>
      <w:rFonts w:ascii="Century Gothic" w:eastAsiaTheme="majorEastAsia" w:hAnsi="Century Gothic" w:cstheme="majorBidi"/>
      <w:b/>
      <w:bCs/>
      <w:kern w:val="32"/>
      <w:sz w:val="28"/>
      <w:szCs w:val="32"/>
    </w:rPr>
  </w:style>
  <w:style w:type="paragraph" w:styleId="Heading2">
    <w:name w:val="heading 2"/>
    <w:basedOn w:val="Normal"/>
    <w:next w:val="Normal"/>
    <w:link w:val="Heading2Char"/>
    <w:unhideWhenUsed/>
    <w:qFormat/>
    <w:rsid w:val="00F54D30"/>
    <w:pPr>
      <w:keepNext/>
      <w:spacing w:before="240" w:after="60"/>
      <w:outlineLvl w:val="1"/>
    </w:pPr>
    <w:rPr>
      <w:rFonts w:asciiTheme="minorHAnsi" w:eastAsiaTheme="majorEastAsia" w:hAnsiTheme="minorHAnsi" w:cstheme="majorBidi"/>
      <w:b/>
      <w:bCs/>
      <w:iCs/>
      <w:caps/>
      <w:sz w:val="24"/>
      <w:szCs w:val="28"/>
    </w:rPr>
  </w:style>
  <w:style w:type="paragraph" w:styleId="Heading3">
    <w:name w:val="heading 3"/>
    <w:basedOn w:val="Normal"/>
    <w:next w:val="Normal"/>
    <w:link w:val="Heading3Char"/>
    <w:unhideWhenUsed/>
    <w:qFormat/>
    <w:rsid w:val="00F54D30"/>
    <w:pPr>
      <w:keepNext/>
      <w:spacing w:before="240" w:after="60"/>
      <w:outlineLvl w:val="2"/>
    </w:pPr>
    <w:rPr>
      <w:rFonts w:asciiTheme="minorHAnsi" w:eastAsiaTheme="majorEastAsia" w:hAnsiTheme="min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Env">
    <w:name w:val="Table Style Env"/>
    <w:basedOn w:val="TableNormal"/>
    <w:uiPriority w:val="99"/>
    <w:rsid w:val="00F54D30"/>
    <w:rPr>
      <w:rFonts w:ascii="Arial Narrow" w:hAnsi="Arial Narrow"/>
      <w:sz w:val="18"/>
      <w:lang w:eastAsia="ko-KR"/>
    </w:rPr>
    <w:tblPr>
      <w:tblBorders>
        <w:insideH w:val="single" w:sz="4" w:space="0" w:color="auto"/>
      </w:tblBorders>
    </w:tblPr>
    <w:tblStylePr w:type="firstRow">
      <w:pPr>
        <w:jc w:val="center"/>
      </w:pPr>
      <w:rPr>
        <w:rFonts w:ascii="Arial Narrow" w:hAnsi="Arial Narrow"/>
        <w:b/>
        <w:sz w:val="24"/>
      </w:rPr>
      <w:tblPr/>
      <w:tcPr>
        <w:tcBorders>
          <w:bottom w:val="single" w:sz="12" w:space="0" w:color="auto"/>
        </w:tcBorders>
        <w:vAlign w:val="bottom"/>
      </w:tcPr>
    </w:tblStylePr>
  </w:style>
  <w:style w:type="paragraph" w:styleId="BalloonText">
    <w:name w:val="Balloon Text"/>
    <w:basedOn w:val="Normal"/>
    <w:link w:val="BalloonTextChar"/>
    <w:rsid w:val="00F54D30"/>
    <w:rPr>
      <w:rFonts w:ascii="Tahoma" w:hAnsi="Tahoma" w:cs="Tahoma"/>
      <w:sz w:val="16"/>
      <w:szCs w:val="16"/>
    </w:rPr>
  </w:style>
  <w:style w:type="character" w:customStyle="1" w:styleId="BalloonTextChar">
    <w:name w:val="Balloon Text Char"/>
    <w:link w:val="BalloonText"/>
    <w:rsid w:val="00F54D30"/>
    <w:rPr>
      <w:rFonts w:ascii="Tahoma" w:hAnsi="Tahoma" w:cs="Tahoma"/>
      <w:sz w:val="16"/>
      <w:szCs w:val="16"/>
    </w:rPr>
  </w:style>
  <w:style w:type="paragraph" w:styleId="Header">
    <w:name w:val="header"/>
    <w:basedOn w:val="Normal"/>
    <w:link w:val="HeaderChar"/>
    <w:uiPriority w:val="99"/>
    <w:rsid w:val="00F54D30"/>
    <w:pPr>
      <w:tabs>
        <w:tab w:val="center" w:pos="4680"/>
        <w:tab w:val="right" w:pos="9360"/>
      </w:tabs>
    </w:pPr>
  </w:style>
  <w:style w:type="character" w:customStyle="1" w:styleId="HeaderChar">
    <w:name w:val="Header Char"/>
    <w:link w:val="Header"/>
    <w:uiPriority w:val="99"/>
    <w:rsid w:val="00F54D30"/>
    <w:rPr>
      <w:rFonts w:ascii="Calibri" w:hAnsi="Calibri"/>
      <w:szCs w:val="24"/>
    </w:rPr>
  </w:style>
  <w:style w:type="paragraph" w:styleId="Footer">
    <w:name w:val="footer"/>
    <w:basedOn w:val="Normal"/>
    <w:link w:val="FooterChar"/>
    <w:rsid w:val="00F54D30"/>
    <w:pPr>
      <w:tabs>
        <w:tab w:val="center" w:pos="4680"/>
        <w:tab w:val="right" w:pos="9360"/>
      </w:tabs>
    </w:pPr>
  </w:style>
  <w:style w:type="character" w:customStyle="1" w:styleId="FooterChar">
    <w:name w:val="Footer Char"/>
    <w:link w:val="Footer"/>
    <w:rsid w:val="00F54D30"/>
    <w:rPr>
      <w:rFonts w:ascii="Calibri" w:hAnsi="Calibri"/>
      <w:szCs w:val="24"/>
    </w:rPr>
  </w:style>
  <w:style w:type="paragraph" w:customStyle="1" w:styleId="SubjectSalutation">
    <w:name w:val="Subject/Salutation"/>
    <w:qFormat/>
    <w:rsid w:val="00881674"/>
    <w:pPr>
      <w:spacing w:before="200" w:after="200"/>
      <w:ind w:left="936" w:hanging="936"/>
    </w:pPr>
    <w:rPr>
      <w:rFonts w:ascii="Calibri Light" w:hAnsi="Calibri Light"/>
      <w:szCs w:val="24"/>
    </w:rPr>
  </w:style>
  <w:style w:type="paragraph" w:styleId="BodyText">
    <w:name w:val="Body Text"/>
    <w:basedOn w:val="Normal"/>
    <w:link w:val="BodyTextChar"/>
    <w:rsid w:val="00F54D30"/>
    <w:pPr>
      <w:spacing w:after="200"/>
      <w:jc w:val="both"/>
    </w:pPr>
  </w:style>
  <w:style w:type="character" w:customStyle="1" w:styleId="BodyTextChar">
    <w:name w:val="Body Text Char"/>
    <w:link w:val="BodyText"/>
    <w:rsid w:val="00F54D30"/>
    <w:rPr>
      <w:rFonts w:ascii="Calibri" w:hAnsi="Calibri"/>
      <w:szCs w:val="24"/>
    </w:rPr>
  </w:style>
  <w:style w:type="paragraph" w:styleId="Title">
    <w:name w:val="Title"/>
    <w:basedOn w:val="Normal"/>
    <w:next w:val="Normal"/>
    <w:link w:val="TitleChar"/>
    <w:qFormat/>
    <w:rsid w:val="00017AE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017AEA"/>
    <w:rPr>
      <w:rFonts w:ascii="Cambria" w:eastAsia="Times New Roman" w:hAnsi="Cambria" w:cs="Times New Roman"/>
      <w:color w:val="17365D"/>
      <w:spacing w:val="5"/>
      <w:kern w:val="28"/>
      <w:sz w:val="52"/>
      <w:szCs w:val="52"/>
    </w:rPr>
  </w:style>
  <w:style w:type="table" w:styleId="TableGrid">
    <w:name w:val="Table Grid"/>
    <w:basedOn w:val="TableNormal"/>
    <w:rsid w:val="000C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qFormat/>
    <w:rsid w:val="00881674"/>
    <w:pPr>
      <w:numPr>
        <w:numId w:val="3"/>
      </w:numPr>
      <w:tabs>
        <w:tab w:val="left" w:pos="216"/>
      </w:tabs>
      <w:spacing w:after="40"/>
      <w:ind w:left="216" w:hanging="216"/>
    </w:pPr>
    <w:rPr>
      <w:rFonts w:ascii="Calibri Light" w:hAnsi="Calibri Light"/>
      <w:szCs w:val="24"/>
    </w:rPr>
  </w:style>
  <w:style w:type="paragraph" w:customStyle="1" w:styleId="DocumentTitle">
    <w:name w:val="Document Title"/>
    <w:qFormat/>
    <w:rsid w:val="008A2E2F"/>
    <w:pPr>
      <w:spacing w:after="600"/>
    </w:pPr>
    <w:rPr>
      <w:rFonts w:ascii="Century Gothic" w:hAnsi="Century Gothic"/>
      <w:b/>
      <w:caps/>
      <w:color w:val="7F7F7F" w:themeColor="text1" w:themeTint="80"/>
      <w:sz w:val="36"/>
      <w:szCs w:val="24"/>
    </w:rPr>
  </w:style>
  <w:style w:type="paragraph" w:customStyle="1" w:styleId="MemoQ">
    <w:name w:val="MemoQ"/>
    <w:basedOn w:val="BodyText"/>
    <w:qFormat/>
    <w:rsid w:val="008A2E2F"/>
    <w:pPr>
      <w:spacing w:after="0"/>
    </w:pPr>
    <w:rPr>
      <w:sz w:val="16"/>
    </w:rPr>
  </w:style>
  <w:style w:type="paragraph" w:customStyle="1" w:styleId="MemoA">
    <w:name w:val="MemoA"/>
    <w:qFormat/>
    <w:rsid w:val="00881674"/>
    <w:pPr>
      <w:spacing w:after="200"/>
    </w:pPr>
    <w:rPr>
      <w:rFonts w:ascii="Calibri Light" w:hAnsi="Calibri Light"/>
      <w:szCs w:val="24"/>
    </w:rPr>
  </w:style>
  <w:style w:type="character" w:customStyle="1" w:styleId="Heading1Char">
    <w:name w:val="Heading 1 Char"/>
    <w:basedOn w:val="DefaultParagraphFont"/>
    <w:link w:val="Heading1"/>
    <w:rsid w:val="00F54D30"/>
    <w:rPr>
      <w:rFonts w:ascii="Century Gothic" w:eastAsiaTheme="majorEastAsia" w:hAnsi="Century Gothic" w:cstheme="majorBidi"/>
      <w:b/>
      <w:bCs/>
      <w:kern w:val="32"/>
      <w:sz w:val="28"/>
      <w:szCs w:val="32"/>
    </w:rPr>
  </w:style>
  <w:style w:type="paragraph" w:customStyle="1" w:styleId="MemoHeading1">
    <w:name w:val="Memo Heading 1"/>
    <w:next w:val="BodyText"/>
    <w:qFormat/>
    <w:rsid w:val="00892183"/>
    <w:rPr>
      <w:rFonts w:asciiTheme="minorHAnsi" w:hAnsiTheme="minorHAnsi"/>
      <w:b/>
      <w:caps/>
      <w:szCs w:val="24"/>
    </w:rPr>
  </w:style>
  <w:style w:type="paragraph" w:customStyle="1" w:styleId="Ltr-Footer">
    <w:name w:val="Ltr-Footer"/>
    <w:qFormat/>
    <w:rsid w:val="00F54D30"/>
    <w:pPr>
      <w:ind w:right="-360"/>
      <w:jc w:val="right"/>
    </w:pPr>
    <w:rPr>
      <w:rFonts w:ascii="Calibri Light" w:hAnsi="Calibri Light"/>
      <w:sz w:val="18"/>
      <w:szCs w:val="24"/>
    </w:rPr>
  </w:style>
  <w:style w:type="paragraph" w:customStyle="1" w:styleId="Bullet1Last">
    <w:name w:val="Bullet 1 Last"/>
    <w:basedOn w:val="Bullet1"/>
    <w:next w:val="BodyText"/>
    <w:qFormat/>
    <w:rsid w:val="009B20E6"/>
    <w:pPr>
      <w:numPr>
        <w:numId w:val="6"/>
      </w:numPr>
      <w:spacing w:after="200"/>
      <w:ind w:left="216" w:hanging="216"/>
    </w:pPr>
  </w:style>
  <w:style w:type="paragraph" w:customStyle="1" w:styleId="Bullet2">
    <w:name w:val="Bullet 2"/>
    <w:basedOn w:val="Normal"/>
    <w:qFormat/>
    <w:rsid w:val="00AC0CF3"/>
    <w:pPr>
      <w:numPr>
        <w:numId w:val="5"/>
      </w:numPr>
      <w:tabs>
        <w:tab w:val="left" w:pos="432"/>
      </w:tabs>
      <w:ind w:left="432" w:hanging="216"/>
    </w:pPr>
  </w:style>
  <w:style w:type="paragraph" w:customStyle="1" w:styleId="Bullet2Last">
    <w:name w:val="Bullet 2 Last"/>
    <w:basedOn w:val="Bullet2"/>
    <w:qFormat/>
    <w:rsid w:val="00AC0CF3"/>
    <w:pPr>
      <w:numPr>
        <w:numId w:val="7"/>
      </w:numPr>
      <w:spacing w:after="200"/>
      <w:ind w:left="432" w:hanging="216"/>
    </w:pPr>
  </w:style>
  <w:style w:type="character" w:customStyle="1" w:styleId="Heading2Char">
    <w:name w:val="Heading 2 Char"/>
    <w:basedOn w:val="DefaultParagraphFont"/>
    <w:link w:val="Heading2"/>
    <w:rsid w:val="00F54D30"/>
    <w:rPr>
      <w:rFonts w:asciiTheme="minorHAnsi" w:eastAsiaTheme="majorEastAsia" w:hAnsiTheme="minorHAnsi" w:cstheme="majorBidi"/>
      <w:b/>
      <w:bCs/>
      <w:iCs/>
      <w:caps/>
      <w:sz w:val="24"/>
      <w:szCs w:val="28"/>
    </w:rPr>
  </w:style>
  <w:style w:type="character" w:customStyle="1" w:styleId="Heading3Char">
    <w:name w:val="Heading 3 Char"/>
    <w:basedOn w:val="DefaultParagraphFont"/>
    <w:link w:val="Heading3"/>
    <w:rsid w:val="00F54D30"/>
    <w:rPr>
      <w:rFonts w:asciiTheme="minorHAnsi" w:eastAsiaTheme="majorEastAsia" w:hAnsiTheme="minorHAnsi" w:cstheme="majorBidi"/>
      <w:b/>
      <w:bCs/>
      <w:sz w:val="24"/>
      <w:szCs w:val="26"/>
    </w:rPr>
  </w:style>
  <w:style w:type="character" w:customStyle="1" w:styleId="Heading4InsideBodyText">
    <w:name w:val="Heading 4 (Inside Body Text)"/>
    <w:rsid w:val="00F54D30"/>
    <w:rPr>
      <w:rFonts w:asciiTheme="minorHAnsi" w:hAnsiTheme="minorHAnsi"/>
      <w:b/>
      <w:bCs/>
      <w:sz w:val="20"/>
      <w:u w:val="none"/>
    </w:rPr>
  </w:style>
  <w:style w:type="paragraph" w:customStyle="1" w:styleId="LtrCoName">
    <w:name w:val="Ltr Co. Name"/>
    <w:next w:val="Normal"/>
    <w:qFormat/>
    <w:rsid w:val="00881674"/>
    <w:pPr>
      <w:spacing w:after="600"/>
    </w:pPr>
    <w:rPr>
      <w:rFonts w:ascii="Calibri Light" w:hAnsi="Calibri Light"/>
      <w:b/>
      <w:sz w:val="22"/>
      <w:szCs w:val="24"/>
    </w:rPr>
  </w:style>
  <w:style w:type="paragraph" w:customStyle="1" w:styleId="TableColumnHead">
    <w:name w:val="Table Column Head"/>
    <w:rsid w:val="00881674"/>
    <w:pPr>
      <w:spacing w:before="40" w:after="40"/>
    </w:pPr>
    <w:rPr>
      <w:rFonts w:ascii="Calibri Light" w:hAnsi="Calibri Light"/>
      <w:caps/>
      <w:sz w:val="17"/>
    </w:rPr>
  </w:style>
  <w:style w:type="paragraph" w:customStyle="1" w:styleId="TableSourceFootnote">
    <w:name w:val="Table Source/Footnote"/>
    <w:rsid w:val="00881674"/>
    <w:pPr>
      <w:spacing w:before="40" w:after="40"/>
      <w:jc w:val="both"/>
    </w:pPr>
    <w:rPr>
      <w:rFonts w:ascii="Calibri Light" w:hAnsi="Calibri Light"/>
      <w:sz w:val="14"/>
    </w:rPr>
  </w:style>
  <w:style w:type="paragraph" w:customStyle="1" w:styleId="TableText">
    <w:name w:val="Table Text"/>
    <w:rsid w:val="00881674"/>
    <w:pPr>
      <w:spacing w:before="40" w:after="40"/>
      <w:jc w:val="both"/>
    </w:pPr>
    <w:rPr>
      <w:rFonts w:ascii="Calibri Light" w:hAnsi="Calibri Light"/>
      <w:sz w:val="18"/>
    </w:rPr>
  </w:style>
  <w:style w:type="paragraph" w:customStyle="1" w:styleId="TableTitle">
    <w:name w:val="Table Title"/>
    <w:rsid w:val="00881674"/>
    <w:pPr>
      <w:tabs>
        <w:tab w:val="left" w:pos="720"/>
        <w:tab w:val="left" w:pos="1080"/>
      </w:tabs>
      <w:spacing w:before="240" w:after="120"/>
      <w:ind w:left="-72"/>
    </w:pPr>
    <w:rPr>
      <w:rFonts w:ascii="Calibri Light" w:hAnsi="Calibri Light"/>
      <w:b/>
      <w:sz w:val="24"/>
    </w:rPr>
  </w:style>
  <w:style w:type="paragraph" w:styleId="FootnoteText">
    <w:name w:val="footnote text"/>
    <w:basedOn w:val="Normal"/>
    <w:link w:val="FootnoteTextChar"/>
    <w:semiHidden/>
    <w:unhideWhenUsed/>
    <w:rsid w:val="004175E8"/>
    <w:rPr>
      <w:szCs w:val="20"/>
    </w:rPr>
  </w:style>
  <w:style w:type="character" w:customStyle="1" w:styleId="FootnoteTextChar">
    <w:name w:val="Footnote Text Char"/>
    <w:basedOn w:val="DefaultParagraphFont"/>
    <w:link w:val="FootnoteText"/>
    <w:semiHidden/>
    <w:rsid w:val="004175E8"/>
    <w:rPr>
      <w:rFonts w:ascii="Calibri Light" w:hAnsi="Calibri Light"/>
    </w:rPr>
  </w:style>
  <w:style w:type="character" w:styleId="FootnoteReference">
    <w:name w:val="footnote reference"/>
    <w:basedOn w:val="DefaultParagraphFont"/>
    <w:semiHidden/>
    <w:unhideWhenUsed/>
    <w:rsid w:val="004175E8"/>
    <w:rPr>
      <w:vertAlign w:val="superscript"/>
    </w:rPr>
  </w:style>
  <w:style w:type="character" w:styleId="CommentReference">
    <w:name w:val="annotation reference"/>
    <w:uiPriority w:val="9"/>
    <w:qFormat/>
    <w:rsid w:val="00936019"/>
    <w:rPr>
      <w:sz w:val="16"/>
      <w:szCs w:val="16"/>
    </w:rPr>
  </w:style>
  <w:style w:type="paragraph" w:styleId="CommentText">
    <w:name w:val="annotation text"/>
    <w:basedOn w:val="Normal"/>
    <w:link w:val="CommentTextChar"/>
    <w:uiPriority w:val="99"/>
    <w:semiHidden/>
    <w:unhideWhenUsed/>
    <w:rsid w:val="00936019"/>
    <w:rPr>
      <w:rFonts w:ascii="Garamond" w:hAnsi="Garamond"/>
      <w:szCs w:val="20"/>
    </w:rPr>
  </w:style>
  <w:style w:type="character" w:customStyle="1" w:styleId="CommentTextChar">
    <w:name w:val="Comment Text Char"/>
    <w:basedOn w:val="DefaultParagraphFont"/>
    <w:link w:val="CommentText"/>
    <w:uiPriority w:val="99"/>
    <w:semiHidden/>
    <w:rsid w:val="00936019"/>
    <w:rPr>
      <w:rFonts w:ascii="Garamond" w:hAnsi="Garamond"/>
    </w:rPr>
  </w:style>
  <w:style w:type="paragraph" w:styleId="CommentSubject">
    <w:name w:val="annotation subject"/>
    <w:basedOn w:val="CommentText"/>
    <w:next w:val="CommentText"/>
    <w:link w:val="CommentSubjectChar"/>
    <w:semiHidden/>
    <w:unhideWhenUsed/>
    <w:rsid w:val="00987821"/>
    <w:rPr>
      <w:rFonts w:ascii="Calibri Light" w:hAnsi="Calibri Light"/>
      <w:b/>
      <w:bCs/>
    </w:rPr>
  </w:style>
  <w:style w:type="character" w:customStyle="1" w:styleId="CommentSubjectChar">
    <w:name w:val="Comment Subject Char"/>
    <w:basedOn w:val="CommentTextChar"/>
    <w:link w:val="CommentSubject"/>
    <w:semiHidden/>
    <w:rsid w:val="00987821"/>
    <w:rPr>
      <w:rFonts w:ascii="Calibri Light" w:hAnsi="Calibri Light"/>
      <w:b/>
      <w:bCs/>
    </w:rPr>
  </w:style>
  <w:style w:type="paragraph" w:styleId="Revision">
    <w:name w:val="Revision"/>
    <w:hidden/>
    <w:uiPriority w:val="99"/>
    <w:semiHidden/>
    <w:rsid w:val="0062323F"/>
    <w:rPr>
      <w:rFonts w:ascii="Calibri Light" w:hAnsi="Calibri L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8583">
      <w:bodyDiv w:val="1"/>
      <w:marLeft w:val="0"/>
      <w:marRight w:val="0"/>
      <w:marTop w:val="0"/>
      <w:marBottom w:val="0"/>
      <w:divBdr>
        <w:top w:val="none" w:sz="0" w:space="0" w:color="auto"/>
        <w:left w:val="none" w:sz="0" w:space="0" w:color="auto"/>
        <w:bottom w:val="none" w:sz="0" w:space="0" w:color="auto"/>
        <w:right w:val="none" w:sz="0" w:space="0" w:color="auto"/>
      </w:divBdr>
    </w:div>
    <w:div w:id="350956224">
      <w:bodyDiv w:val="1"/>
      <w:marLeft w:val="0"/>
      <w:marRight w:val="0"/>
      <w:marTop w:val="0"/>
      <w:marBottom w:val="0"/>
      <w:divBdr>
        <w:top w:val="none" w:sz="0" w:space="0" w:color="auto"/>
        <w:left w:val="none" w:sz="0" w:space="0" w:color="auto"/>
        <w:bottom w:val="none" w:sz="0" w:space="0" w:color="auto"/>
        <w:right w:val="none" w:sz="0" w:space="0" w:color="auto"/>
      </w:divBdr>
    </w:div>
    <w:div w:id="14402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15be52b36ac565d31806dc4b42dca572">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1367aff1e37f559cb4d3953491ac1025"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93DD-03EA-4C93-963B-09D83EE8BE1A}">
  <ds:schemaRefs>
    <ds:schemaRef ds:uri="http://schemas.microsoft.com/sharepoint/v3/contenttype/forms"/>
  </ds:schemaRefs>
</ds:datastoreItem>
</file>

<file path=customXml/itemProps2.xml><?xml version="1.0" encoding="utf-8"?>
<ds:datastoreItem xmlns:ds="http://schemas.openxmlformats.org/officeDocument/2006/customXml" ds:itemID="{A69CD765-C7D8-4FF3-B2B3-8E8A8ACC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51FCA-E82F-43E2-A372-283C1178BF4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fdc81ec3-f4f6-4609-b50f-04d22d16fef5"/>
    <ds:schemaRef ds:uri="http://purl.org/dc/dcmitype/"/>
    <ds:schemaRef ds:uri="http://www.w3.org/XML/1998/namespace"/>
    <ds:schemaRef ds:uri="http://schemas.openxmlformats.org/package/2006/metadata/core-properties"/>
    <ds:schemaRef ds:uri="c442bec3-5de2-4848-8046-1525657b99f6"/>
  </ds:schemaRefs>
</ds:datastoreItem>
</file>

<file path=customXml/itemProps4.xml><?xml version="1.0" encoding="utf-8"?>
<ds:datastoreItem xmlns:ds="http://schemas.openxmlformats.org/officeDocument/2006/customXml" ds:itemID="{D77822CD-B4B3-41D8-94FB-D09F2D9D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2656</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Planning Center</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Vermilion</dc:creator>
  <cp:lastModifiedBy>Michael Hendrix</cp:lastModifiedBy>
  <cp:revision>3</cp:revision>
  <dcterms:created xsi:type="dcterms:W3CDTF">2020-01-10T22:35:00Z</dcterms:created>
  <dcterms:modified xsi:type="dcterms:W3CDTF">2020-01-10T22:42:00Z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